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BC16" w14:textId="235B8132" w:rsidR="00C81CA4" w:rsidRPr="00BE0318" w:rsidRDefault="00C81CA4" w:rsidP="00C81CA4">
      <w:pPr>
        <w:pStyle w:val="Default"/>
        <w:jc w:val="center"/>
        <w:rPr>
          <w:rFonts w:ascii="Bookman Old Style" w:hAnsi="Bookman Old Style" w:cs="Times New Roman"/>
          <w:b/>
        </w:rPr>
      </w:pPr>
      <w:r w:rsidRPr="00BE0318">
        <w:rPr>
          <w:rFonts w:ascii="Bookman Old Style" w:hAnsi="Bookman Old Style" w:cs="Times New Roman"/>
          <w:b/>
        </w:rPr>
        <w:t xml:space="preserve">N453 Information Management and Healthcare Technology </w:t>
      </w:r>
    </w:p>
    <w:p w14:paraId="350592E0" w14:textId="77777777" w:rsidR="00C81CA4" w:rsidRPr="00BE0318" w:rsidRDefault="00C81CA4" w:rsidP="00C81CA4">
      <w:pPr>
        <w:pStyle w:val="Default"/>
        <w:jc w:val="center"/>
        <w:rPr>
          <w:rFonts w:ascii="Bookman Old Style" w:hAnsi="Bookman Old Style" w:cs="Times New Roman"/>
          <w:b/>
        </w:rPr>
      </w:pPr>
      <w:r w:rsidRPr="00BE0318">
        <w:rPr>
          <w:rFonts w:ascii="Bookman Old Style" w:hAnsi="Bookman Old Style" w:cs="Times New Roman"/>
          <w:b/>
        </w:rPr>
        <w:t>Course Syllabus</w:t>
      </w:r>
    </w:p>
    <w:p w14:paraId="40F2F5EB" w14:textId="09057834" w:rsidR="00C03E7D" w:rsidRDefault="00F038B2" w:rsidP="00C81CA4">
      <w:pPr>
        <w:pStyle w:val="Default"/>
        <w:jc w:val="center"/>
        <w:rPr>
          <w:rFonts w:ascii="Bookman Old Style" w:hAnsi="Bookman Old Style" w:cs="Times New Roman"/>
          <w:b/>
        </w:rPr>
      </w:pPr>
      <w:r>
        <w:rPr>
          <w:rFonts w:ascii="Bookman Old Style" w:hAnsi="Bookman Old Style" w:cs="Times New Roman"/>
          <w:b/>
        </w:rPr>
        <w:t xml:space="preserve">Fall </w:t>
      </w:r>
      <w:r w:rsidR="00C25797">
        <w:rPr>
          <w:rFonts w:ascii="Bookman Old Style" w:hAnsi="Bookman Old Style" w:cs="Times New Roman"/>
          <w:b/>
        </w:rPr>
        <w:t>202</w:t>
      </w:r>
      <w:r w:rsidR="00241589">
        <w:rPr>
          <w:rFonts w:ascii="Bookman Old Style" w:hAnsi="Bookman Old Style" w:cs="Times New Roman"/>
          <w:b/>
        </w:rPr>
        <w:t>3</w:t>
      </w:r>
    </w:p>
    <w:p w14:paraId="045752E7" w14:textId="696EB43D" w:rsidR="009D2DBF" w:rsidRPr="00BE0318" w:rsidRDefault="00241589" w:rsidP="00C81CA4">
      <w:pPr>
        <w:pStyle w:val="Default"/>
        <w:jc w:val="center"/>
        <w:rPr>
          <w:rFonts w:ascii="Bookman Old Style" w:hAnsi="Bookman Old Style" w:cs="Times New Roman"/>
          <w:b/>
        </w:rPr>
      </w:pPr>
      <w:r>
        <w:rPr>
          <w:rFonts w:ascii="Bookman Old Style" w:hAnsi="Bookman Old Style" w:cs="Times New Roman"/>
          <w:b/>
        </w:rPr>
        <w:t xml:space="preserve">Beth Lamb </w:t>
      </w:r>
    </w:p>
    <w:p w14:paraId="5645AF3D" w14:textId="2302D2B1" w:rsidR="00AE77E1" w:rsidRPr="00BE0318" w:rsidRDefault="00AE77E1" w:rsidP="00AE77E1">
      <w:pPr>
        <w:pStyle w:val="Default"/>
        <w:jc w:val="center"/>
        <w:rPr>
          <w:rFonts w:ascii="Bookman Old Style" w:hAnsi="Bookman Old Style" w:cs="Times New Roman"/>
        </w:rPr>
      </w:pPr>
      <w:r w:rsidRPr="00BE0318">
        <w:rPr>
          <w:rFonts w:ascii="Bookman Old Style" w:hAnsi="Bookman Old Style" w:cs="Times New Roman"/>
        </w:rPr>
        <w:t xml:space="preserve">SCI D142 UWSP/UWSP Wausau </w:t>
      </w:r>
      <w:r w:rsidR="005419DF">
        <w:rPr>
          <w:rFonts w:ascii="Bookman Old Style" w:hAnsi="Bookman Old Style" w:cs="Times New Roman"/>
        </w:rPr>
        <w:t>319</w:t>
      </w:r>
    </w:p>
    <w:p w14:paraId="6BBF1752" w14:textId="2532C1EF" w:rsidR="006801BF" w:rsidRPr="00757FA2" w:rsidRDefault="00D83A08" w:rsidP="00AE77E1">
      <w:pPr>
        <w:pStyle w:val="Default"/>
        <w:jc w:val="center"/>
        <w:rPr>
          <w:rFonts w:ascii="Bookman Old Style" w:hAnsi="Bookman Old Style" w:cs="Times New Roman"/>
          <w:sz w:val="22"/>
          <w:szCs w:val="22"/>
        </w:rPr>
      </w:pPr>
      <w:r w:rsidRPr="00757FA2">
        <w:rPr>
          <w:rFonts w:ascii="Bookman Old Style" w:hAnsi="Bookman Old Style" w:cs="Times New Roman"/>
          <w:sz w:val="22"/>
          <w:szCs w:val="22"/>
          <w:u w:val="single"/>
        </w:rPr>
        <w:t>Office Hours</w:t>
      </w:r>
      <w:r w:rsidRPr="00757FA2">
        <w:rPr>
          <w:rFonts w:ascii="Bookman Old Style" w:hAnsi="Bookman Old Style" w:cs="Times New Roman"/>
          <w:sz w:val="22"/>
          <w:szCs w:val="22"/>
        </w:rPr>
        <w:t xml:space="preserve">: </w:t>
      </w:r>
      <w:r w:rsidR="00757FA2" w:rsidRPr="00757FA2">
        <w:rPr>
          <w:rFonts w:ascii="Bookman Old Style" w:hAnsi="Bookman Old Style" w:cs="Times New Roman"/>
          <w:sz w:val="22"/>
          <w:szCs w:val="22"/>
        </w:rPr>
        <w:t xml:space="preserve">1.5 hours after each Zoom class and Mondays 11-1pm </w:t>
      </w:r>
      <w:r w:rsidR="00757FA2" w:rsidRPr="00757FA2">
        <w:rPr>
          <w:rFonts w:ascii="Bookman Old Style" w:hAnsi="Bookman Old Style" w:cs="Times New Roman"/>
          <w:b/>
          <w:bCs/>
          <w:sz w:val="22"/>
          <w:szCs w:val="22"/>
        </w:rPr>
        <w:t>OR</w:t>
      </w:r>
      <w:r w:rsidR="00757FA2" w:rsidRPr="00757FA2">
        <w:rPr>
          <w:rFonts w:ascii="Bookman Old Style" w:hAnsi="Bookman Old Style" w:cs="Times New Roman"/>
          <w:sz w:val="22"/>
          <w:szCs w:val="22"/>
        </w:rPr>
        <w:t xml:space="preserve"> </w:t>
      </w:r>
      <w:r w:rsidRPr="00757FA2">
        <w:rPr>
          <w:rFonts w:ascii="Bookman Old Style" w:hAnsi="Bookman Old Style" w:cs="Times New Roman"/>
          <w:sz w:val="22"/>
          <w:szCs w:val="22"/>
        </w:rPr>
        <w:t>by appt</w:t>
      </w:r>
      <w:r w:rsidR="00241589" w:rsidRPr="00757FA2">
        <w:rPr>
          <w:rFonts w:ascii="Bookman Old Style" w:hAnsi="Bookman Old Style" w:cs="Times New Roman"/>
          <w:sz w:val="22"/>
          <w:szCs w:val="22"/>
        </w:rPr>
        <w:t>- just send an email or call</w:t>
      </w:r>
    </w:p>
    <w:p w14:paraId="6D60B0C2" w14:textId="7A9D9CE5" w:rsidR="00D83A08" w:rsidRPr="00BE0318" w:rsidRDefault="00757FA2" w:rsidP="00C81CA4">
      <w:pPr>
        <w:pStyle w:val="Default"/>
        <w:jc w:val="center"/>
        <w:rPr>
          <w:rFonts w:ascii="Bookman Old Style" w:hAnsi="Bookman Old Style" w:cs="Times New Roman"/>
        </w:rPr>
      </w:pPr>
      <w:hyperlink r:id="rId7" w:history="1">
        <w:r w:rsidRPr="00802BBC">
          <w:rPr>
            <w:rStyle w:val="Hyperlink"/>
            <w:rFonts w:ascii="Bookman Old Style" w:hAnsi="Bookman Old Style" w:cs="Times New Roman"/>
          </w:rPr>
          <w:t>elamb@uwsp.edu</w:t>
        </w:r>
      </w:hyperlink>
      <w:r>
        <w:rPr>
          <w:rFonts w:ascii="Bookman Old Style" w:hAnsi="Bookman Old Style" w:cs="Times New Roman"/>
        </w:rPr>
        <w:t xml:space="preserve"> </w:t>
      </w:r>
      <w:r w:rsidR="00D83A08" w:rsidRPr="00BE0318">
        <w:rPr>
          <w:rFonts w:ascii="Bookman Old Style" w:hAnsi="Bookman Old Style" w:cs="Times New Roman"/>
        </w:rPr>
        <w:t>715-346-482</w:t>
      </w:r>
      <w:r w:rsidR="00241589">
        <w:rPr>
          <w:rFonts w:ascii="Bookman Old Style" w:hAnsi="Bookman Old Style" w:cs="Times New Roman"/>
        </w:rPr>
        <w:t>8</w:t>
      </w:r>
    </w:p>
    <w:p w14:paraId="46023B4F" w14:textId="3D835A15" w:rsidR="00C03E7D" w:rsidRPr="00BE0318" w:rsidRDefault="00C03E7D" w:rsidP="00C03E7D">
      <w:pPr>
        <w:spacing w:line="360" w:lineRule="auto"/>
        <w:rPr>
          <w:rFonts w:ascii="Bookman Old Style" w:hAnsi="Bookman Old Style" w:cs="Times New Roman"/>
          <w:b/>
        </w:rPr>
      </w:pPr>
      <w:r w:rsidRPr="00BE0318">
        <w:rPr>
          <w:rFonts w:ascii="Bookman Old Style" w:hAnsi="Bookman Old Style" w:cs="Times New Roman"/>
          <w:b/>
        </w:rPr>
        <w:t>Course Description</w:t>
      </w:r>
    </w:p>
    <w:p w14:paraId="3E4BAE67" w14:textId="7E56E50F" w:rsidR="004D7340" w:rsidRPr="00BE0318" w:rsidRDefault="00884D59" w:rsidP="004D7340">
      <w:pPr>
        <w:spacing w:line="360" w:lineRule="auto"/>
        <w:rPr>
          <w:rFonts w:ascii="Bookman Old Style" w:hAnsi="Bookman Old Style" w:cs="Times New Roman"/>
        </w:rPr>
      </w:pPr>
      <w:r w:rsidRPr="00BE0318">
        <w:rPr>
          <w:rFonts w:ascii="Bookman Old Style" w:hAnsi="Bookman Old Style" w:cs="Times New Roman"/>
        </w:rPr>
        <w:tab/>
      </w:r>
      <w:r w:rsidR="004D7340" w:rsidRPr="00BE0318">
        <w:rPr>
          <w:rFonts w:ascii="Bookman Old Style" w:hAnsi="Bookman Old Style" w:cs="Times New Roman"/>
        </w:rPr>
        <w:t xml:space="preserve">This 3-credit course focuses on </w:t>
      </w:r>
      <w:r w:rsidR="00C03E7D" w:rsidRPr="00BE0318">
        <w:rPr>
          <w:rFonts w:ascii="Bookman Old Style" w:hAnsi="Bookman Old Style" w:cs="Times New Roman"/>
        </w:rPr>
        <w:t xml:space="preserve">how to utilize computer and </w:t>
      </w:r>
      <w:r w:rsidR="004D7340" w:rsidRPr="00BE0318">
        <w:rPr>
          <w:rFonts w:ascii="Bookman Old Style" w:hAnsi="Bookman Old Style" w:cs="Times New Roman"/>
        </w:rPr>
        <w:t>information/decision science to support quality and safety in health care. The course explores informatics and examines nursing’s role in healthcare technology</w:t>
      </w:r>
      <w:r w:rsidR="006801BF" w:rsidRPr="00BE0318">
        <w:rPr>
          <w:rFonts w:ascii="Bookman Old Style" w:hAnsi="Bookman Old Style" w:cs="Times New Roman"/>
        </w:rPr>
        <w:t xml:space="preserve"> and patients’ participation in healthcare through use of information technology.</w:t>
      </w:r>
      <w:r w:rsidR="00B70682" w:rsidRPr="00BE0318">
        <w:rPr>
          <w:rFonts w:ascii="Bookman Old Style" w:eastAsia="Times New Roman" w:hAnsi="Bookman Old Style" w:cs="Times New Roman"/>
          <w:color w:val="000000"/>
        </w:rPr>
        <w:t xml:space="preserve"> </w:t>
      </w:r>
      <w:r w:rsidR="00B70682" w:rsidRPr="00BE0318">
        <w:rPr>
          <w:rFonts w:ascii="Bookman Old Style" w:hAnsi="Bookman Old Style" w:cs="Times New Roman"/>
        </w:rPr>
        <w:t>The use of technology to help make decisions and to improve the health status of the individual, family, and community is emphasized. Students will apply informatics concepts to a current clinical practice setting suggesting methods to use technology to improve patient safety and work effectiveness. The student will also learn to identify, gather, process, and manage information/data.</w:t>
      </w:r>
    </w:p>
    <w:p w14:paraId="669E65EF" w14:textId="77777777" w:rsidR="00B70682" w:rsidRPr="00BE0318" w:rsidRDefault="00B70682" w:rsidP="004D7340">
      <w:pPr>
        <w:spacing w:line="360" w:lineRule="auto"/>
        <w:rPr>
          <w:rFonts w:ascii="Bookman Old Style" w:hAnsi="Bookman Old Style" w:cs="Times New Roman"/>
        </w:rPr>
      </w:pPr>
    </w:p>
    <w:p w14:paraId="30BDA7E7" w14:textId="674E34C7" w:rsidR="004D7340" w:rsidRPr="00BE0318" w:rsidRDefault="004D7340" w:rsidP="00C03E7D">
      <w:pPr>
        <w:spacing w:line="360" w:lineRule="auto"/>
        <w:rPr>
          <w:rFonts w:ascii="Bookman Old Style" w:hAnsi="Bookman Old Style" w:cs="Times New Roman"/>
          <w:b/>
        </w:rPr>
      </w:pPr>
      <w:r w:rsidRPr="00BE0318">
        <w:rPr>
          <w:rFonts w:ascii="Bookman Old Style" w:hAnsi="Bookman Old Style" w:cs="Times New Roman"/>
          <w:b/>
        </w:rPr>
        <w:t>Student Learning Outcomes</w:t>
      </w:r>
    </w:p>
    <w:p w14:paraId="4FED5C93" w14:textId="6581557F" w:rsidR="004D7340" w:rsidRPr="00BE0318" w:rsidRDefault="004D7340" w:rsidP="00C03E7D">
      <w:pPr>
        <w:spacing w:line="360" w:lineRule="auto"/>
        <w:rPr>
          <w:rFonts w:ascii="Bookman Old Style" w:hAnsi="Bookman Old Style" w:cs="Times New Roman"/>
        </w:rPr>
      </w:pPr>
      <w:r w:rsidRPr="00BE0318">
        <w:rPr>
          <w:rFonts w:ascii="Bookman Old Style" w:hAnsi="Bookman Old Style" w:cs="Times New Roman"/>
        </w:rPr>
        <w:t>Upon successful completion of this course, the student should be able to:</w:t>
      </w:r>
    </w:p>
    <w:p w14:paraId="52000309" w14:textId="2DFD2CF8"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Delineate the role of the nurse in healthcare informatics.</w:t>
      </w:r>
    </w:p>
    <w:p w14:paraId="2DB9D230" w14:textId="06F6588C"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Describe how to manage data, information, knowledge, and technology to enhance and measure clinical practice, education, administration, and research.</w:t>
      </w:r>
    </w:p>
    <w:p w14:paraId="7E831CD7" w14:textId="24605C71"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Discuss healthcare informatics relationship to ethical, legal, political social, cultural, economic, and management issues that impact the delivery of quality and cost-effective healthcare.</w:t>
      </w:r>
    </w:p>
    <w:p w14:paraId="012C87BF" w14:textId="347397F9"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Demonstrate mastery of select and current technology skills.</w:t>
      </w:r>
    </w:p>
    <w:p w14:paraId="33F45B13" w14:textId="1AC54EA1" w:rsidR="009D2DBF" w:rsidRPr="009D2DBF"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 xml:space="preserve">Evaluate healthcare forces, trends, and professional standards impacting healthcare informatics. </w:t>
      </w:r>
    </w:p>
    <w:p w14:paraId="388C254F" w14:textId="5B5F9443" w:rsidR="002B527A" w:rsidRPr="00BE0318" w:rsidRDefault="002B527A" w:rsidP="00B82773">
      <w:pPr>
        <w:rPr>
          <w:rFonts w:ascii="Bookman Old Style" w:hAnsi="Bookman Old Style" w:cs="Times New Roman"/>
          <w:b/>
        </w:rPr>
      </w:pPr>
      <w:r w:rsidRPr="00BE0318">
        <w:rPr>
          <w:rFonts w:ascii="Bookman Old Style" w:hAnsi="Bookman Old Style" w:cs="Times New Roman"/>
          <w:b/>
        </w:rPr>
        <w:t>Required text</w:t>
      </w:r>
    </w:p>
    <w:p w14:paraId="36A13A96" w14:textId="77777777" w:rsidR="00BE0318" w:rsidRDefault="006D4BC2" w:rsidP="00BE0318">
      <w:pPr>
        <w:spacing w:line="276" w:lineRule="auto"/>
        <w:rPr>
          <w:rFonts w:ascii="Bookman Old Style" w:eastAsia="Times New Roman" w:hAnsi="Bookman Old Style" w:cs="Times New Roman"/>
          <w:color w:val="000000"/>
        </w:rPr>
      </w:pPr>
      <w:r w:rsidRPr="006D4BC2">
        <w:rPr>
          <w:rFonts w:ascii="Bookman Old Style" w:eastAsia="Times New Roman" w:hAnsi="Bookman Old Style" w:cs="Times New Roman"/>
          <w:iCs/>
          <w:color w:val="000000"/>
        </w:rPr>
        <w:t>McGonigle, D. &amp; Mastrian, K. (2018).</w:t>
      </w:r>
      <w:r w:rsidRPr="006D4BC2">
        <w:rPr>
          <w:rFonts w:ascii="Bookman Old Style" w:eastAsia="Times New Roman" w:hAnsi="Bookman Old Style" w:cs="Times New Roman"/>
          <w:i/>
          <w:iCs/>
          <w:color w:val="000000"/>
        </w:rPr>
        <w:t xml:space="preserve"> Nursing Informatics and the Foundation of Knowledge </w:t>
      </w:r>
      <w:r w:rsidRPr="006D4BC2">
        <w:rPr>
          <w:rFonts w:ascii="Bookman Old Style" w:eastAsia="Times New Roman" w:hAnsi="Bookman Old Style" w:cs="Times New Roman"/>
          <w:color w:val="000000"/>
        </w:rPr>
        <w:t>(4th ed.). Burlington, MA: Jones &amp; Bartlett Learnin</w:t>
      </w:r>
      <w:r w:rsidR="00BE0318">
        <w:rPr>
          <w:rFonts w:ascii="Bookman Old Style" w:eastAsia="Times New Roman" w:hAnsi="Bookman Old Style" w:cs="Times New Roman"/>
          <w:color w:val="000000"/>
        </w:rPr>
        <w:t>g</w:t>
      </w:r>
    </w:p>
    <w:p w14:paraId="0E6E562F" w14:textId="77777777" w:rsidR="00241589" w:rsidRDefault="00241589" w:rsidP="00BE0318">
      <w:pPr>
        <w:spacing w:line="276" w:lineRule="auto"/>
        <w:rPr>
          <w:rFonts w:ascii="Bookman Old Style" w:hAnsi="Bookman Old Style"/>
          <w:b/>
          <w:bCs/>
          <w:sz w:val="28"/>
          <w:szCs w:val="28"/>
        </w:rPr>
      </w:pPr>
    </w:p>
    <w:p w14:paraId="12D83CF5" w14:textId="11BCAE10" w:rsidR="00B37E37" w:rsidRPr="00BE0318" w:rsidRDefault="00B37E37" w:rsidP="00BE0318">
      <w:pPr>
        <w:spacing w:line="276" w:lineRule="auto"/>
        <w:rPr>
          <w:rFonts w:ascii="Bookman Old Style" w:eastAsia="Times New Roman" w:hAnsi="Bookman Old Style" w:cs="Times New Roman"/>
          <w:color w:val="000000"/>
        </w:rPr>
      </w:pPr>
      <w:r w:rsidRPr="00B37E37">
        <w:rPr>
          <w:rFonts w:ascii="Bookman Old Style" w:hAnsi="Bookman Old Style"/>
          <w:b/>
          <w:bCs/>
          <w:sz w:val="28"/>
          <w:szCs w:val="28"/>
        </w:rPr>
        <w:t>Grad</w:t>
      </w:r>
      <w:r>
        <w:rPr>
          <w:rFonts w:ascii="Bookman Old Style" w:hAnsi="Bookman Old Style"/>
          <w:b/>
          <w:bCs/>
          <w:sz w:val="28"/>
          <w:szCs w:val="28"/>
        </w:rPr>
        <w:t>ing</w:t>
      </w:r>
    </w:p>
    <w:p w14:paraId="0CA73C7A" w14:textId="13397A91" w:rsidR="00B37E37" w:rsidRPr="00B37E37" w:rsidRDefault="00B37E37" w:rsidP="00B37E37">
      <w:pPr>
        <w:pStyle w:val="Default"/>
        <w:spacing w:line="360" w:lineRule="auto"/>
        <w:rPr>
          <w:rFonts w:ascii="Bookman Old Style" w:hAnsi="Bookman Old Style"/>
          <w:bCs/>
        </w:rPr>
      </w:pPr>
      <w:r w:rsidRPr="00B37E37">
        <w:rPr>
          <w:rFonts w:ascii="Bookman Old Style" w:hAnsi="Bookman Old Style"/>
          <w:bCs/>
        </w:rPr>
        <w:t>Course grades are based on the requirements listed above. Due dates can be found in the Course Calendar.</w:t>
      </w:r>
    </w:p>
    <w:tbl>
      <w:tblPr>
        <w:tblStyle w:val="TableGrid"/>
        <w:tblW w:w="0" w:type="auto"/>
        <w:tblLook w:val="04A0" w:firstRow="1" w:lastRow="0" w:firstColumn="1" w:lastColumn="0" w:noHBand="0" w:noVBand="1"/>
      </w:tblPr>
      <w:tblGrid>
        <w:gridCol w:w="4324"/>
        <w:gridCol w:w="4306"/>
      </w:tblGrid>
      <w:tr w:rsidR="00B37E37" w:rsidRPr="00B37E37" w14:paraId="6B3B7439" w14:textId="77777777" w:rsidTr="00290013">
        <w:tc>
          <w:tcPr>
            <w:tcW w:w="4324" w:type="dxa"/>
          </w:tcPr>
          <w:p w14:paraId="06C7D403" w14:textId="77777777" w:rsidR="00B37E37" w:rsidRPr="00B37E37" w:rsidRDefault="00B37E37" w:rsidP="00290013">
            <w:pPr>
              <w:pStyle w:val="Default"/>
              <w:spacing w:line="360" w:lineRule="auto"/>
              <w:rPr>
                <w:rFonts w:ascii="Bookman Old Style" w:hAnsi="Bookman Old Style"/>
                <w:b/>
                <w:bCs/>
              </w:rPr>
            </w:pPr>
            <w:r w:rsidRPr="00B37E37">
              <w:rPr>
                <w:rFonts w:ascii="Bookman Old Style" w:hAnsi="Bookman Old Style"/>
                <w:b/>
                <w:bCs/>
              </w:rPr>
              <w:t>ASSIGNMENT</w:t>
            </w:r>
          </w:p>
        </w:tc>
        <w:tc>
          <w:tcPr>
            <w:tcW w:w="4306" w:type="dxa"/>
          </w:tcPr>
          <w:p w14:paraId="3B1D39B4" w14:textId="77777777" w:rsidR="00B37E37" w:rsidRPr="00B37E37" w:rsidRDefault="00B37E37" w:rsidP="00290013">
            <w:pPr>
              <w:pStyle w:val="Default"/>
              <w:spacing w:line="360" w:lineRule="auto"/>
              <w:rPr>
                <w:rFonts w:ascii="Bookman Old Style" w:hAnsi="Bookman Old Style"/>
                <w:b/>
                <w:bCs/>
              </w:rPr>
            </w:pPr>
            <w:r w:rsidRPr="00B37E37">
              <w:rPr>
                <w:rFonts w:ascii="Bookman Old Style" w:hAnsi="Bookman Old Style"/>
                <w:b/>
                <w:bCs/>
              </w:rPr>
              <w:t>PERCENT OF FINAL GRADE</w:t>
            </w:r>
          </w:p>
        </w:tc>
      </w:tr>
      <w:tr w:rsidR="00B37E37" w:rsidRPr="00B37E37" w14:paraId="0CD1367D" w14:textId="77777777" w:rsidTr="00290013">
        <w:tc>
          <w:tcPr>
            <w:tcW w:w="4324" w:type="dxa"/>
          </w:tcPr>
          <w:p w14:paraId="62E693A2" w14:textId="1315AF2F" w:rsidR="00B37E37" w:rsidRPr="00B37E37" w:rsidRDefault="005419DF" w:rsidP="00290013">
            <w:pPr>
              <w:pStyle w:val="Default"/>
              <w:spacing w:line="360" w:lineRule="auto"/>
              <w:rPr>
                <w:rFonts w:ascii="Bookman Old Style" w:hAnsi="Bookman Old Style"/>
                <w:bCs/>
              </w:rPr>
            </w:pPr>
            <w:r>
              <w:rPr>
                <w:rFonts w:ascii="Bookman Old Style" w:hAnsi="Bookman Old Style"/>
                <w:bCs/>
              </w:rPr>
              <w:t>Assignments/case studies/</w:t>
            </w:r>
            <w:r w:rsidR="00CB455B">
              <w:rPr>
                <w:rFonts w:ascii="Bookman Old Style" w:hAnsi="Bookman Old Style"/>
                <w:bCs/>
              </w:rPr>
              <w:t>activities</w:t>
            </w:r>
          </w:p>
        </w:tc>
        <w:tc>
          <w:tcPr>
            <w:tcW w:w="4306" w:type="dxa"/>
          </w:tcPr>
          <w:p w14:paraId="42BAA177" w14:textId="15008B32" w:rsidR="00B37E37" w:rsidRPr="00B37E37" w:rsidRDefault="005419DF" w:rsidP="00AF616A">
            <w:pPr>
              <w:pStyle w:val="Default"/>
              <w:spacing w:line="360" w:lineRule="auto"/>
              <w:jc w:val="center"/>
              <w:rPr>
                <w:rFonts w:ascii="Bookman Old Style" w:hAnsi="Bookman Old Style"/>
                <w:bCs/>
              </w:rPr>
            </w:pPr>
            <w:r>
              <w:rPr>
                <w:rFonts w:ascii="Bookman Old Style" w:hAnsi="Bookman Old Style"/>
                <w:bCs/>
              </w:rPr>
              <w:t>2</w:t>
            </w:r>
            <w:r w:rsidR="00F51C64">
              <w:rPr>
                <w:rFonts w:ascii="Bookman Old Style" w:hAnsi="Bookman Old Style"/>
                <w:bCs/>
              </w:rPr>
              <w:t>5</w:t>
            </w:r>
            <w:r w:rsidR="00B37E37" w:rsidRPr="00B37E37">
              <w:rPr>
                <w:rFonts w:ascii="Bookman Old Style" w:hAnsi="Bookman Old Style"/>
                <w:bCs/>
              </w:rPr>
              <w:t>%</w:t>
            </w:r>
          </w:p>
        </w:tc>
      </w:tr>
      <w:tr w:rsidR="00B37E37" w:rsidRPr="00B37E37" w14:paraId="75F6B422" w14:textId="77777777" w:rsidTr="00290013">
        <w:tc>
          <w:tcPr>
            <w:tcW w:w="4324" w:type="dxa"/>
          </w:tcPr>
          <w:p w14:paraId="51240E3C" w14:textId="7E7B8361"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Discussions </w:t>
            </w:r>
          </w:p>
        </w:tc>
        <w:tc>
          <w:tcPr>
            <w:tcW w:w="4306" w:type="dxa"/>
          </w:tcPr>
          <w:p w14:paraId="6F42EFCE" w14:textId="50E8CA57" w:rsidR="00B37E37" w:rsidRPr="00B37E37" w:rsidRDefault="005419DF" w:rsidP="00AF616A">
            <w:pPr>
              <w:pStyle w:val="Default"/>
              <w:spacing w:line="360" w:lineRule="auto"/>
              <w:jc w:val="center"/>
              <w:rPr>
                <w:rFonts w:ascii="Bookman Old Style" w:hAnsi="Bookman Old Style"/>
                <w:bCs/>
              </w:rPr>
            </w:pPr>
            <w:r>
              <w:rPr>
                <w:rFonts w:ascii="Bookman Old Style" w:hAnsi="Bookman Old Style"/>
                <w:bCs/>
              </w:rPr>
              <w:t>3</w:t>
            </w:r>
            <w:r w:rsidR="00B37E37" w:rsidRPr="00B37E37">
              <w:rPr>
                <w:rFonts w:ascii="Bookman Old Style" w:hAnsi="Bookman Old Style"/>
                <w:bCs/>
              </w:rPr>
              <w:t>0%</w:t>
            </w:r>
          </w:p>
        </w:tc>
      </w:tr>
      <w:tr w:rsidR="00B37E37" w:rsidRPr="00B37E37" w14:paraId="78AE2397" w14:textId="77777777" w:rsidTr="00290013">
        <w:tc>
          <w:tcPr>
            <w:tcW w:w="4324" w:type="dxa"/>
          </w:tcPr>
          <w:p w14:paraId="404FCB22" w14:textId="6724445A" w:rsidR="00B37E37" w:rsidRPr="00B37E37" w:rsidRDefault="00EB218C" w:rsidP="005E5927">
            <w:pPr>
              <w:pStyle w:val="Default"/>
              <w:spacing w:line="360" w:lineRule="auto"/>
              <w:rPr>
                <w:rFonts w:ascii="Bookman Old Style" w:hAnsi="Bookman Old Style"/>
                <w:bCs/>
              </w:rPr>
            </w:pPr>
            <w:r w:rsidRPr="00EB218C">
              <w:rPr>
                <w:rFonts w:ascii="Bookman Old Style" w:hAnsi="Bookman Old Style"/>
                <w:bCs/>
              </w:rPr>
              <w:t>Applications of technology in healthcare</w:t>
            </w:r>
            <w:r>
              <w:rPr>
                <w:rFonts w:ascii="Bookman Old Style" w:hAnsi="Bookman Old Style"/>
                <w:bCs/>
              </w:rPr>
              <w:t xml:space="preserve"> paper</w:t>
            </w:r>
            <w:r w:rsidR="00A615CC">
              <w:rPr>
                <w:rFonts w:ascii="Bookman Old Style" w:hAnsi="Bookman Old Style"/>
                <w:bCs/>
              </w:rPr>
              <w:t xml:space="preserve"> </w:t>
            </w:r>
          </w:p>
        </w:tc>
        <w:tc>
          <w:tcPr>
            <w:tcW w:w="4306" w:type="dxa"/>
          </w:tcPr>
          <w:p w14:paraId="5030BC21" w14:textId="0DA748E5" w:rsidR="00B37E37" w:rsidRPr="00B37E37" w:rsidRDefault="00AF616A" w:rsidP="00AF616A">
            <w:pPr>
              <w:pStyle w:val="Default"/>
              <w:spacing w:line="360" w:lineRule="auto"/>
              <w:jc w:val="center"/>
              <w:rPr>
                <w:rFonts w:ascii="Bookman Old Style" w:hAnsi="Bookman Old Style"/>
                <w:bCs/>
              </w:rPr>
            </w:pPr>
            <w:r>
              <w:rPr>
                <w:rFonts w:ascii="Bookman Old Style" w:hAnsi="Bookman Old Style"/>
                <w:bCs/>
              </w:rPr>
              <w:t>2</w:t>
            </w:r>
            <w:r w:rsidR="00B37E37" w:rsidRPr="00B37E37">
              <w:rPr>
                <w:rFonts w:ascii="Bookman Old Style" w:hAnsi="Bookman Old Style"/>
                <w:bCs/>
              </w:rPr>
              <w:t>0%</w:t>
            </w:r>
          </w:p>
        </w:tc>
      </w:tr>
      <w:tr w:rsidR="00AF616A" w:rsidRPr="00B37E37" w14:paraId="5216EF36" w14:textId="77777777" w:rsidTr="00290013">
        <w:tc>
          <w:tcPr>
            <w:tcW w:w="4324" w:type="dxa"/>
          </w:tcPr>
          <w:p w14:paraId="476D6DD5" w14:textId="2D7F2E96" w:rsidR="00AF616A" w:rsidRPr="00EB218C" w:rsidRDefault="00AF616A" w:rsidP="005E5927">
            <w:pPr>
              <w:pStyle w:val="Default"/>
              <w:spacing w:line="360" w:lineRule="auto"/>
              <w:rPr>
                <w:rFonts w:ascii="Bookman Old Style" w:hAnsi="Bookman Old Style"/>
                <w:bCs/>
              </w:rPr>
            </w:pPr>
            <w:r w:rsidRPr="00EB218C">
              <w:rPr>
                <w:rFonts w:ascii="Bookman Old Style" w:hAnsi="Bookman Old Style"/>
                <w:bCs/>
              </w:rPr>
              <w:t>Applications of technology in healthcare</w:t>
            </w:r>
            <w:r>
              <w:rPr>
                <w:rFonts w:ascii="Bookman Old Style" w:hAnsi="Bookman Old Style"/>
                <w:bCs/>
              </w:rPr>
              <w:t xml:space="preserve"> presentation</w:t>
            </w:r>
          </w:p>
        </w:tc>
        <w:tc>
          <w:tcPr>
            <w:tcW w:w="4306" w:type="dxa"/>
          </w:tcPr>
          <w:p w14:paraId="4C1B65A3" w14:textId="466B8D85" w:rsidR="00AF616A" w:rsidRPr="00B37E37" w:rsidRDefault="00AF616A" w:rsidP="00AF616A">
            <w:pPr>
              <w:pStyle w:val="Default"/>
              <w:spacing w:line="360" w:lineRule="auto"/>
              <w:jc w:val="center"/>
              <w:rPr>
                <w:rFonts w:ascii="Bookman Old Style" w:hAnsi="Bookman Old Style"/>
                <w:bCs/>
              </w:rPr>
            </w:pPr>
            <w:r>
              <w:rPr>
                <w:rFonts w:ascii="Bookman Old Style" w:hAnsi="Bookman Old Style"/>
                <w:bCs/>
              </w:rPr>
              <w:t>10%</w:t>
            </w:r>
          </w:p>
        </w:tc>
      </w:tr>
      <w:tr w:rsidR="00B37E37" w:rsidRPr="00B37E37" w14:paraId="4DBD6272" w14:textId="77777777" w:rsidTr="00290013">
        <w:tc>
          <w:tcPr>
            <w:tcW w:w="4324" w:type="dxa"/>
          </w:tcPr>
          <w:p w14:paraId="4B983D62" w14:textId="24DCBC2E" w:rsidR="00B37E37" w:rsidRPr="00B37E37" w:rsidRDefault="0046588C" w:rsidP="00290013">
            <w:pPr>
              <w:pStyle w:val="Default"/>
              <w:spacing w:line="360" w:lineRule="auto"/>
              <w:rPr>
                <w:rFonts w:ascii="Bookman Old Style" w:hAnsi="Bookman Old Style"/>
                <w:bCs/>
              </w:rPr>
            </w:pPr>
            <w:r w:rsidRPr="0046588C">
              <w:rPr>
                <w:rFonts w:ascii="Bookman Old Style" w:hAnsi="Bookman Old Style"/>
                <w:bCs/>
              </w:rPr>
              <w:t>Attendance and Participation</w:t>
            </w:r>
          </w:p>
        </w:tc>
        <w:tc>
          <w:tcPr>
            <w:tcW w:w="4306" w:type="dxa"/>
          </w:tcPr>
          <w:p w14:paraId="2A77B73D" w14:textId="65A43223" w:rsidR="00B37E37" w:rsidRPr="00B37E37" w:rsidRDefault="005419DF" w:rsidP="00AF616A">
            <w:pPr>
              <w:pStyle w:val="Default"/>
              <w:spacing w:line="360" w:lineRule="auto"/>
              <w:jc w:val="center"/>
              <w:rPr>
                <w:rFonts w:ascii="Bookman Old Style" w:hAnsi="Bookman Old Style"/>
                <w:bCs/>
              </w:rPr>
            </w:pPr>
            <w:r>
              <w:rPr>
                <w:rFonts w:ascii="Bookman Old Style" w:hAnsi="Bookman Old Style"/>
                <w:bCs/>
              </w:rPr>
              <w:t>1</w:t>
            </w:r>
            <w:r w:rsidR="00CB455B">
              <w:rPr>
                <w:rFonts w:ascii="Bookman Old Style" w:hAnsi="Bookman Old Style"/>
                <w:bCs/>
              </w:rPr>
              <w:t>5</w:t>
            </w:r>
            <w:r w:rsidR="00B37E37" w:rsidRPr="00B37E37">
              <w:rPr>
                <w:rFonts w:ascii="Bookman Old Style" w:hAnsi="Bookman Old Style"/>
                <w:bCs/>
              </w:rPr>
              <w:t>%</w:t>
            </w:r>
          </w:p>
        </w:tc>
      </w:tr>
    </w:tbl>
    <w:p w14:paraId="5B6B95B2" w14:textId="6595E326" w:rsidR="005419DF" w:rsidRDefault="00B37E37" w:rsidP="005419DF">
      <w:pPr>
        <w:widowControl w:val="0"/>
        <w:autoSpaceDE w:val="0"/>
        <w:autoSpaceDN w:val="0"/>
        <w:adjustRightInd w:val="0"/>
        <w:rPr>
          <w:rFonts w:ascii="Bookman Old Style" w:hAnsi="Bookman Old Style" w:cs="Times New Roman"/>
          <w:b/>
          <w:sz w:val="27"/>
          <w:szCs w:val="27"/>
        </w:rPr>
      </w:pPr>
      <w:r w:rsidRPr="007309F2">
        <w:rPr>
          <w:rFonts w:ascii="Bookman Old Style" w:eastAsia="Times New Roman" w:hAnsi="Bookman Old Style" w:cs="Times New Roman"/>
          <w:b/>
          <w:sz w:val="27"/>
          <w:szCs w:val="27"/>
        </w:rPr>
        <w:t>Grading Scale</w:t>
      </w:r>
      <w:r w:rsidR="005419DF" w:rsidRPr="005419DF">
        <w:rPr>
          <w:rFonts w:ascii="Bookman Old Style" w:hAnsi="Bookman Old Style" w:cs="Times New Roman"/>
          <w:b/>
          <w:sz w:val="27"/>
          <w:szCs w:val="27"/>
        </w:rPr>
        <w:t xml:space="preserve"> </w:t>
      </w:r>
      <w:r w:rsidR="005419DF">
        <w:rPr>
          <w:rFonts w:ascii="Bookman Old Style" w:hAnsi="Bookman Old Style" w:cs="Times New Roman"/>
          <w:b/>
          <w:sz w:val="27"/>
          <w:szCs w:val="27"/>
        </w:rPr>
        <w:t>Grading Scale</w:t>
      </w:r>
    </w:p>
    <w:p w14:paraId="495AAA20" w14:textId="77777777" w:rsidR="005419DF" w:rsidRDefault="005419DF" w:rsidP="005419DF">
      <w:pPr>
        <w:widowControl w:val="0"/>
        <w:autoSpaceDE w:val="0"/>
        <w:autoSpaceDN w:val="0"/>
        <w:adjustRightInd w:val="0"/>
        <w:rPr>
          <w:rFonts w:ascii="Bookman Old Style" w:hAnsi="Bookman Old Style" w:cs="Times New Roman"/>
          <w:color w:val="000000"/>
        </w:rPr>
      </w:pPr>
      <w:r>
        <w:rPr>
          <w:rFonts w:ascii="Bookman Old Style" w:hAnsi="Bookman Old Style" w:cs="Times New Roman"/>
          <w:color w:val="000000"/>
        </w:rPr>
        <w:t xml:space="preserve"> </w:t>
      </w:r>
    </w:p>
    <w:tbl>
      <w:tblPr>
        <w:tblW w:w="9210" w:type="dxa"/>
        <w:tblLayout w:type="fixed"/>
        <w:tblCellMar>
          <w:left w:w="30" w:type="dxa"/>
          <w:right w:w="30" w:type="dxa"/>
        </w:tblCellMar>
        <w:tblLook w:val="04A0" w:firstRow="1" w:lastRow="0" w:firstColumn="1" w:lastColumn="0" w:noHBand="0" w:noVBand="1"/>
      </w:tblPr>
      <w:tblGrid>
        <w:gridCol w:w="1530"/>
        <w:gridCol w:w="1531"/>
        <w:gridCol w:w="1531"/>
        <w:gridCol w:w="1531"/>
        <w:gridCol w:w="1531"/>
        <w:gridCol w:w="1526"/>
        <w:gridCol w:w="30"/>
      </w:tblGrid>
      <w:tr w:rsidR="005419DF" w14:paraId="0801AE81" w14:textId="77777777" w:rsidTr="005419DF">
        <w:trPr>
          <w:trHeight w:val="517"/>
        </w:trPr>
        <w:tc>
          <w:tcPr>
            <w:tcW w:w="153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363D6D02" w14:textId="77777777" w:rsidR="005419DF" w:rsidRDefault="005419DF">
            <w:pPr>
              <w:spacing w:line="276" w:lineRule="auto"/>
              <w:jc w:val="center"/>
              <w:rPr>
                <w:rFonts w:ascii="Times New Roman" w:eastAsiaTheme="minorHAnsi"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6D8BC854" w14:textId="77777777" w:rsidR="005419DF" w:rsidRDefault="005419DF">
            <w:pPr>
              <w:spacing w:line="276" w:lineRule="auto"/>
              <w:jc w:val="center"/>
              <w:rPr>
                <w:rFonts w:ascii="Times New Roman" w:hAnsi="Times New Roman" w:cs="Times New Roman"/>
                <w:b/>
              </w:rPr>
            </w:pPr>
            <w:r>
              <w:rPr>
                <w:rFonts w:ascii="Times New Roman" w:hAnsi="Times New Roman" w:cs="Times New Roman"/>
                <w:b/>
              </w:rPr>
              <w:t>Percent</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26914038" w14:textId="77777777" w:rsidR="005419DF" w:rsidRDefault="005419DF">
            <w:pPr>
              <w:autoSpaceDE w:val="0"/>
              <w:autoSpaceDN w:val="0"/>
              <w:adjustRightInd w:val="0"/>
              <w:spacing w:line="276" w:lineRule="auto"/>
              <w:ind w:right="-60"/>
              <w:jc w:val="center"/>
              <w:rPr>
                <w:rFonts w:ascii="Times New Roman" w:hAnsi="Times New Roman" w:cs="Times New Roman"/>
                <w:b/>
              </w:rPr>
            </w:pPr>
            <w:r>
              <w:rPr>
                <w:rFonts w:ascii="Times New Roman" w:hAnsi="Times New Roman" w:cs="Times New Roman"/>
                <w:b/>
              </w:rPr>
              <w:t>Points</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2D596801" w14:textId="77777777" w:rsidR="005419DF" w:rsidRDefault="005419DF">
            <w:pPr>
              <w:autoSpaceDE w:val="0"/>
              <w:autoSpaceDN w:val="0"/>
              <w:adjustRightInd w:val="0"/>
              <w:spacing w:line="276" w:lineRule="auto"/>
              <w:ind w:right="-60"/>
              <w:jc w:val="center"/>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59F7C906" w14:textId="77777777" w:rsidR="005419DF" w:rsidRDefault="005419DF">
            <w:pPr>
              <w:autoSpaceDE w:val="0"/>
              <w:autoSpaceDN w:val="0"/>
              <w:adjustRightInd w:val="0"/>
              <w:spacing w:line="276" w:lineRule="auto"/>
              <w:ind w:right="-60"/>
              <w:jc w:val="center"/>
              <w:rPr>
                <w:rFonts w:ascii="Times New Roman" w:hAnsi="Times New Roman" w:cs="Times New Roman"/>
                <w:b/>
              </w:rPr>
            </w:pPr>
            <w:r>
              <w:rPr>
                <w:rFonts w:ascii="Times New Roman" w:hAnsi="Times New Roman" w:cs="Times New Roman"/>
                <w:b/>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11E7E325" w14:textId="77777777" w:rsidR="005419DF" w:rsidRDefault="005419DF">
            <w:pPr>
              <w:autoSpaceDE w:val="0"/>
              <w:autoSpaceDN w:val="0"/>
              <w:adjustRightInd w:val="0"/>
              <w:spacing w:line="276" w:lineRule="auto"/>
              <w:ind w:right="-60"/>
              <w:jc w:val="center"/>
              <w:rPr>
                <w:rFonts w:ascii="Times New Roman" w:hAnsi="Times New Roman" w:cs="Times New Roman"/>
                <w:b/>
              </w:rPr>
            </w:pPr>
            <w:r>
              <w:rPr>
                <w:rFonts w:ascii="Times New Roman" w:hAnsi="Times New Roman" w:cs="Times New Roman"/>
                <w:b/>
              </w:rPr>
              <w:t>Points</w:t>
            </w:r>
          </w:p>
        </w:tc>
      </w:tr>
      <w:tr w:rsidR="005419DF" w14:paraId="1E19DB95" w14:textId="77777777" w:rsidTr="005419DF">
        <w:trPr>
          <w:gridAfter w:val="1"/>
          <w:wAfter w:w="30" w:type="dxa"/>
          <w:trHeight w:val="517"/>
        </w:trPr>
        <w:tc>
          <w:tcPr>
            <w:tcW w:w="1530" w:type="dxa"/>
            <w:tcBorders>
              <w:top w:val="single" w:sz="18" w:space="0" w:color="auto"/>
              <w:left w:val="single" w:sz="6" w:space="0" w:color="auto"/>
              <w:bottom w:val="single" w:sz="6" w:space="0" w:color="auto"/>
              <w:right w:val="single" w:sz="6" w:space="0" w:color="auto"/>
            </w:tcBorders>
            <w:hideMark/>
          </w:tcPr>
          <w:p w14:paraId="439036D9"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A</w:t>
            </w:r>
          </w:p>
        </w:tc>
        <w:tc>
          <w:tcPr>
            <w:tcW w:w="1531" w:type="dxa"/>
            <w:tcBorders>
              <w:top w:val="single" w:sz="18" w:space="0" w:color="auto"/>
              <w:left w:val="single" w:sz="6" w:space="0" w:color="auto"/>
              <w:bottom w:val="single" w:sz="6" w:space="0" w:color="auto"/>
              <w:right w:val="single" w:sz="6" w:space="0" w:color="auto"/>
            </w:tcBorders>
          </w:tcPr>
          <w:p w14:paraId="0E94EE37" w14:textId="77777777" w:rsidR="005419DF" w:rsidRDefault="005419DF">
            <w:pPr>
              <w:spacing w:line="276" w:lineRule="auto"/>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tcPr>
          <w:p w14:paraId="02835D1F"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18" w:space="0" w:color="auto"/>
              <w:left w:val="single" w:sz="6" w:space="0" w:color="auto"/>
              <w:bottom w:val="single" w:sz="6" w:space="0" w:color="auto"/>
              <w:right w:val="single" w:sz="6" w:space="0" w:color="auto"/>
            </w:tcBorders>
            <w:hideMark/>
          </w:tcPr>
          <w:p w14:paraId="04981707" w14:textId="77777777" w:rsidR="005419DF" w:rsidRDefault="005419DF">
            <w:pPr>
              <w:spacing w:line="276" w:lineRule="auto"/>
              <w:rPr>
                <w:rFonts w:ascii="Times New Roman" w:hAnsi="Times New Roman" w:cs="Times New Roman"/>
                <w:b/>
              </w:rPr>
            </w:pPr>
            <w:r>
              <w:rPr>
                <w:rFonts w:ascii="Times New Roman" w:hAnsi="Times New Roman" w:cs="Times New Roman"/>
                <w:b/>
              </w:rPr>
              <w:t>A</w:t>
            </w:r>
          </w:p>
        </w:tc>
        <w:tc>
          <w:tcPr>
            <w:tcW w:w="1531" w:type="dxa"/>
            <w:tcBorders>
              <w:top w:val="single" w:sz="18" w:space="0" w:color="auto"/>
              <w:left w:val="single" w:sz="6" w:space="0" w:color="auto"/>
              <w:bottom w:val="single" w:sz="6" w:space="0" w:color="auto"/>
              <w:right w:val="single" w:sz="6" w:space="0" w:color="auto"/>
            </w:tcBorders>
            <w:hideMark/>
          </w:tcPr>
          <w:p w14:paraId="59B813D4"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94-100</w:t>
            </w:r>
          </w:p>
        </w:tc>
        <w:tc>
          <w:tcPr>
            <w:tcW w:w="1526" w:type="dxa"/>
            <w:tcBorders>
              <w:top w:val="single" w:sz="18" w:space="0" w:color="auto"/>
              <w:left w:val="single" w:sz="6" w:space="0" w:color="auto"/>
              <w:bottom w:val="single" w:sz="6" w:space="0" w:color="auto"/>
              <w:right w:val="single" w:sz="6" w:space="0" w:color="auto"/>
            </w:tcBorders>
          </w:tcPr>
          <w:p w14:paraId="05DD83E7"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0CCEE6FE" w14:textId="77777777" w:rsidTr="005419DF">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6109B27A"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AB</w:t>
            </w:r>
          </w:p>
        </w:tc>
        <w:tc>
          <w:tcPr>
            <w:tcW w:w="1531" w:type="dxa"/>
            <w:tcBorders>
              <w:top w:val="single" w:sz="6" w:space="0" w:color="auto"/>
              <w:left w:val="single" w:sz="6" w:space="0" w:color="auto"/>
              <w:bottom w:val="single" w:sz="6" w:space="0" w:color="auto"/>
              <w:right w:val="single" w:sz="6" w:space="0" w:color="auto"/>
            </w:tcBorders>
          </w:tcPr>
          <w:p w14:paraId="4C10D9DF"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3D831AE6"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69ABD00E" w14:textId="77777777" w:rsidR="005419DF" w:rsidRDefault="005419DF">
            <w:pPr>
              <w:spacing w:line="276" w:lineRule="auto"/>
              <w:rPr>
                <w:rFonts w:ascii="Times New Roman" w:hAnsi="Times New Roman" w:cs="Times New Roman"/>
                <w:b/>
              </w:rPr>
            </w:pPr>
            <w:r>
              <w:rPr>
                <w:rFonts w:ascii="Times New Roman" w:hAnsi="Times New Roman" w:cs="Times New Roman"/>
                <w:b/>
              </w:rPr>
              <w:t>A-</w:t>
            </w:r>
          </w:p>
        </w:tc>
        <w:tc>
          <w:tcPr>
            <w:tcW w:w="1531" w:type="dxa"/>
            <w:tcBorders>
              <w:top w:val="single" w:sz="6" w:space="0" w:color="auto"/>
              <w:left w:val="single" w:sz="6" w:space="0" w:color="auto"/>
              <w:bottom w:val="single" w:sz="6" w:space="0" w:color="auto"/>
              <w:right w:val="single" w:sz="6" w:space="0" w:color="auto"/>
            </w:tcBorders>
            <w:hideMark/>
          </w:tcPr>
          <w:p w14:paraId="7F599581"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90-93</w:t>
            </w:r>
          </w:p>
        </w:tc>
        <w:tc>
          <w:tcPr>
            <w:tcW w:w="1526" w:type="dxa"/>
            <w:tcBorders>
              <w:top w:val="single" w:sz="6" w:space="0" w:color="auto"/>
              <w:left w:val="single" w:sz="6" w:space="0" w:color="auto"/>
              <w:bottom w:val="single" w:sz="6" w:space="0" w:color="auto"/>
              <w:right w:val="single" w:sz="6" w:space="0" w:color="auto"/>
            </w:tcBorders>
          </w:tcPr>
          <w:p w14:paraId="2AC96FB3"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76799D37"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78806441"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B</w:t>
            </w:r>
          </w:p>
        </w:tc>
        <w:tc>
          <w:tcPr>
            <w:tcW w:w="1531" w:type="dxa"/>
            <w:tcBorders>
              <w:top w:val="single" w:sz="6" w:space="0" w:color="auto"/>
              <w:left w:val="single" w:sz="6" w:space="0" w:color="auto"/>
              <w:bottom w:val="single" w:sz="6" w:space="0" w:color="auto"/>
              <w:right w:val="single" w:sz="6" w:space="0" w:color="auto"/>
            </w:tcBorders>
          </w:tcPr>
          <w:p w14:paraId="7093047A"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531FA7B1"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0711662" w14:textId="77777777" w:rsidR="005419DF" w:rsidRDefault="005419DF">
            <w:pPr>
              <w:spacing w:line="276" w:lineRule="auto"/>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0D74625B"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87-89</w:t>
            </w:r>
          </w:p>
        </w:tc>
        <w:tc>
          <w:tcPr>
            <w:tcW w:w="1526" w:type="dxa"/>
            <w:tcBorders>
              <w:top w:val="single" w:sz="6" w:space="0" w:color="auto"/>
              <w:left w:val="single" w:sz="6" w:space="0" w:color="auto"/>
              <w:bottom w:val="single" w:sz="6" w:space="0" w:color="auto"/>
              <w:right w:val="single" w:sz="6" w:space="0" w:color="auto"/>
            </w:tcBorders>
          </w:tcPr>
          <w:p w14:paraId="44EDEBBD"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2E65FF38"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3291508D"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BC</w:t>
            </w:r>
          </w:p>
        </w:tc>
        <w:tc>
          <w:tcPr>
            <w:tcW w:w="1531" w:type="dxa"/>
            <w:tcBorders>
              <w:top w:val="single" w:sz="6" w:space="0" w:color="auto"/>
              <w:left w:val="single" w:sz="6" w:space="0" w:color="auto"/>
              <w:bottom w:val="single" w:sz="6" w:space="0" w:color="auto"/>
              <w:right w:val="single" w:sz="6" w:space="0" w:color="auto"/>
            </w:tcBorders>
          </w:tcPr>
          <w:p w14:paraId="0BCBF795"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2AE5D81C"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4EA080DD" w14:textId="77777777" w:rsidR="005419DF" w:rsidRDefault="005419DF">
            <w:pPr>
              <w:spacing w:line="276" w:lineRule="auto"/>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7E7C7E31"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84-86</w:t>
            </w:r>
          </w:p>
        </w:tc>
        <w:tc>
          <w:tcPr>
            <w:tcW w:w="1526" w:type="dxa"/>
            <w:tcBorders>
              <w:top w:val="single" w:sz="6" w:space="0" w:color="auto"/>
              <w:left w:val="single" w:sz="6" w:space="0" w:color="auto"/>
              <w:bottom w:val="single" w:sz="6" w:space="0" w:color="auto"/>
              <w:right w:val="single" w:sz="6" w:space="0" w:color="auto"/>
            </w:tcBorders>
          </w:tcPr>
          <w:p w14:paraId="09020AD3"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D335BBB" w14:textId="77777777" w:rsidTr="005419DF">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19FCD486"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C</w:t>
            </w:r>
          </w:p>
        </w:tc>
        <w:tc>
          <w:tcPr>
            <w:tcW w:w="1531" w:type="dxa"/>
            <w:tcBorders>
              <w:top w:val="single" w:sz="6" w:space="0" w:color="auto"/>
              <w:left w:val="single" w:sz="6" w:space="0" w:color="auto"/>
              <w:bottom w:val="single" w:sz="6" w:space="0" w:color="auto"/>
              <w:right w:val="single" w:sz="6" w:space="0" w:color="auto"/>
            </w:tcBorders>
          </w:tcPr>
          <w:p w14:paraId="1371CF9B"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10362642"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8666741" w14:textId="77777777" w:rsidR="005419DF" w:rsidRDefault="005419DF">
            <w:pPr>
              <w:spacing w:line="276" w:lineRule="auto"/>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5B93E1B5"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80-83</w:t>
            </w:r>
          </w:p>
        </w:tc>
        <w:tc>
          <w:tcPr>
            <w:tcW w:w="1526" w:type="dxa"/>
            <w:tcBorders>
              <w:top w:val="single" w:sz="6" w:space="0" w:color="auto"/>
              <w:left w:val="single" w:sz="6" w:space="0" w:color="auto"/>
              <w:bottom w:val="single" w:sz="6" w:space="0" w:color="auto"/>
              <w:right w:val="single" w:sz="6" w:space="0" w:color="auto"/>
            </w:tcBorders>
          </w:tcPr>
          <w:p w14:paraId="5346C654"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6A33B6F"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1652FF42"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CD</w:t>
            </w:r>
          </w:p>
        </w:tc>
        <w:tc>
          <w:tcPr>
            <w:tcW w:w="1531" w:type="dxa"/>
            <w:tcBorders>
              <w:top w:val="single" w:sz="6" w:space="0" w:color="auto"/>
              <w:left w:val="single" w:sz="6" w:space="0" w:color="auto"/>
              <w:bottom w:val="single" w:sz="6" w:space="0" w:color="auto"/>
              <w:right w:val="single" w:sz="6" w:space="0" w:color="auto"/>
            </w:tcBorders>
          </w:tcPr>
          <w:p w14:paraId="09175727"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5F773447"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7B1D8213" w14:textId="77777777" w:rsidR="005419DF" w:rsidRDefault="005419DF">
            <w:pPr>
              <w:spacing w:line="276" w:lineRule="auto"/>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3613FD87"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77-79</w:t>
            </w:r>
          </w:p>
        </w:tc>
        <w:tc>
          <w:tcPr>
            <w:tcW w:w="1526" w:type="dxa"/>
            <w:tcBorders>
              <w:top w:val="single" w:sz="6" w:space="0" w:color="auto"/>
              <w:left w:val="single" w:sz="6" w:space="0" w:color="auto"/>
              <w:bottom w:val="single" w:sz="6" w:space="0" w:color="auto"/>
              <w:right w:val="single" w:sz="6" w:space="0" w:color="auto"/>
            </w:tcBorders>
          </w:tcPr>
          <w:p w14:paraId="37F1E9CD"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6BC38DBD" w14:textId="77777777" w:rsidTr="005419DF">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4F2BE29F"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D</w:t>
            </w:r>
          </w:p>
        </w:tc>
        <w:tc>
          <w:tcPr>
            <w:tcW w:w="1531" w:type="dxa"/>
            <w:tcBorders>
              <w:top w:val="single" w:sz="6" w:space="0" w:color="auto"/>
              <w:left w:val="single" w:sz="6" w:space="0" w:color="auto"/>
              <w:bottom w:val="single" w:sz="6" w:space="0" w:color="auto"/>
              <w:right w:val="single" w:sz="6" w:space="0" w:color="auto"/>
            </w:tcBorders>
          </w:tcPr>
          <w:p w14:paraId="61A1CAAC"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16E90B51"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563EC4F" w14:textId="77777777" w:rsidR="005419DF" w:rsidRDefault="005419DF">
            <w:pPr>
              <w:spacing w:line="276" w:lineRule="auto"/>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656D49EB"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74-76</w:t>
            </w:r>
          </w:p>
        </w:tc>
        <w:tc>
          <w:tcPr>
            <w:tcW w:w="1526" w:type="dxa"/>
            <w:tcBorders>
              <w:top w:val="single" w:sz="6" w:space="0" w:color="auto"/>
              <w:left w:val="single" w:sz="6" w:space="0" w:color="auto"/>
              <w:bottom w:val="single" w:sz="6" w:space="0" w:color="auto"/>
              <w:right w:val="single" w:sz="6" w:space="0" w:color="auto"/>
            </w:tcBorders>
          </w:tcPr>
          <w:p w14:paraId="2CB9B78E"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28DC63B"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48216C9E"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F</w:t>
            </w:r>
          </w:p>
        </w:tc>
        <w:tc>
          <w:tcPr>
            <w:tcW w:w="1531" w:type="dxa"/>
            <w:tcBorders>
              <w:top w:val="single" w:sz="6" w:space="0" w:color="auto"/>
              <w:left w:val="single" w:sz="6" w:space="0" w:color="auto"/>
              <w:bottom w:val="single" w:sz="6" w:space="0" w:color="auto"/>
              <w:right w:val="single" w:sz="6" w:space="0" w:color="auto"/>
            </w:tcBorders>
          </w:tcPr>
          <w:p w14:paraId="4550C509"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46A3C9BA"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147ECE26" w14:textId="77777777" w:rsidR="005419DF" w:rsidRDefault="005419DF">
            <w:pPr>
              <w:spacing w:line="276" w:lineRule="auto"/>
              <w:rPr>
                <w:rFonts w:ascii="Times New Roman" w:hAnsi="Times New Roman" w:cs="Times New Roman"/>
                <w:b/>
                <w:highlight w:val="yellow"/>
              </w:rPr>
            </w:pPr>
            <w:r>
              <w:rPr>
                <w:rFonts w:ascii="Times New Roman" w:hAnsi="Times New Roman" w:cs="Times New Roman"/>
                <w:b/>
                <w:highlight w:val="yellow"/>
              </w:rPr>
              <w:t>C-</w:t>
            </w:r>
          </w:p>
        </w:tc>
        <w:tc>
          <w:tcPr>
            <w:tcW w:w="1531" w:type="dxa"/>
            <w:tcBorders>
              <w:top w:val="single" w:sz="6" w:space="0" w:color="auto"/>
              <w:left w:val="single" w:sz="6" w:space="0" w:color="auto"/>
              <w:bottom w:val="single" w:sz="6" w:space="0" w:color="auto"/>
              <w:right w:val="single" w:sz="6" w:space="0" w:color="auto"/>
            </w:tcBorders>
            <w:hideMark/>
          </w:tcPr>
          <w:p w14:paraId="5FB738A8" w14:textId="77777777" w:rsidR="005419DF" w:rsidRDefault="005419DF">
            <w:pPr>
              <w:autoSpaceDE w:val="0"/>
              <w:autoSpaceDN w:val="0"/>
              <w:adjustRightInd w:val="0"/>
              <w:spacing w:line="276" w:lineRule="auto"/>
              <w:ind w:right="-60"/>
              <w:rPr>
                <w:rFonts w:ascii="Times New Roman" w:hAnsi="Times New Roman" w:cs="Times New Roman"/>
                <w:highlight w:val="yellow"/>
              </w:rPr>
            </w:pPr>
            <w:r>
              <w:rPr>
                <w:rFonts w:ascii="Times New Roman" w:hAnsi="Times New Roman" w:cs="Times New Roman"/>
                <w:highlight w:val="yellow"/>
              </w:rPr>
              <w:t>70-73</w:t>
            </w:r>
          </w:p>
        </w:tc>
        <w:tc>
          <w:tcPr>
            <w:tcW w:w="1526" w:type="dxa"/>
            <w:tcBorders>
              <w:top w:val="single" w:sz="6" w:space="0" w:color="auto"/>
              <w:left w:val="single" w:sz="6" w:space="0" w:color="auto"/>
              <w:bottom w:val="single" w:sz="6" w:space="0" w:color="auto"/>
              <w:right w:val="single" w:sz="6" w:space="0" w:color="auto"/>
            </w:tcBorders>
            <w:hideMark/>
          </w:tcPr>
          <w:p w14:paraId="13056F5C" w14:textId="77777777" w:rsidR="005419DF" w:rsidRDefault="005419DF">
            <w:pPr>
              <w:autoSpaceDE w:val="0"/>
              <w:autoSpaceDN w:val="0"/>
              <w:adjustRightInd w:val="0"/>
              <w:spacing w:line="276" w:lineRule="auto"/>
              <w:ind w:right="-60"/>
              <w:rPr>
                <w:rFonts w:ascii="Times New Roman" w:hAnsi="Times New Roman" w:cs="Times New Roman"/>
                <w:highlight w:val="yellow"/>
              </w:rPr>
            </w:pPr>
            <w:r>
              <w:rPr>
                <w:rFonts w:ascii="Times New Roman" w:hAnsi="Times New Roman" w:cs="Times New Roman"/>
                <w:highlight w:val="yellow"/>
              </w:rPr>
              <w:t>This is a failing grade</w:t>
            </w:r>
          </w:p>
        </w:tc>
      </w:tr>
      <w:tr w:rsidR="005419DF" w14:paraId="281E9E01" w14:textId="77777777" w:rsidTr="005419DF">
        <w:trPr>
          <w:gridAfter w:val="1"/>
          <w:wAfter w:w="30" w:type="dxa"/>
          <w:trHeight w:val="517"/>
        </w:trPr>
        <w:tc>
          <w:tcPr>
            <w:tcW w:w="4592" w:type="dxa"/>
            <w:gridSpan w:val="3"/>
            <w:vMerge w:val="restart"/>
            <w:tcBorders>
              <w:top w:val="single" w:sz="6" w:space="0" w:color="auto"/>
              <w:left w:val="nil"/>
              <w:bottom w:val="nil"/>
              <w:right w:val="single" w:sz="6" w:space="0" w:color="auto"/>
            </w:tcBorders>
            <w:hideMark/>
          </w:tcPr>
          <w:p w14:paraId="23FAACE9"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There are differences in the final letter grade scales between campuses. UW-Madison and UW-Green Bay use an A/AB grading scale. UW-Oshkosh, UW-Milwaukee, UW-</w:t>
            </w:r>
            <w:proofErr w:type="spellStart"/>
            <w:r>
              <w:rPr>
                <w:rFonts w:ascii="Times New Roman" w:hAnsi="Times New Roman" w:cs="Times New Roman"/>
              </w:rPr>
              <w:t>Eau</w:t>
            </w:r>
            <w:proofErr w:type="spellEnd"/>
            <w:r>
              <w:rPr>
                <w:rFonts w:ascii="Times New Roman" w:hAnsi="Times New Roman" w:cs="Times New Roman"/>
              </w:rPr>
              <w:t xml:space="preserve"> </w:t>
            </w:r>
            <w:r>
              <w:rPr>
                <w:rFonts w:ascii="Times New Roman" w:hAnsi="Times New Roman" w:cs="Times New Roman"/>
              </w:rPr>
              <w:lastRenderedPageBreak/>
              <w:t>Claire, and UW-Stevens Point use an A/A- scale for final letter grades. If you have questions, please contact your instructor.</w:t>
            </w:r>
          </w:p>
        </w:tc>
        <w:tc>
          <w:tcPr>
            <w:tcW w:w="1531" w:type="dxa"/>
            <w:tcBorders>
              <w:top w:val="single" w:sz="6" w:space="0" w:color="auto"/>
              <w:left w:val="single" w:sz="6" w:space="0" w:color="auto"/>
              <w:bottom w:val="single" w:sz="6" w:space="0" w:color="auto"/>
              <w:right w:val="single" w:sz="6" w:space="0" w:color="auto"/>
            </w:tcBorders>
            <w:hideMark/>
          </w:tcPr>
          <w:p w14:paraId="62C83A90" w14:textId="77777777" w:rsidR="005419DF" w:rsidRDefault="005419DF">
            <w:pPr>
              <w:spacing w:line="276" w:lineRule="auto"/>
              <w:rPr>
                <w:rFonts w:ascii="Times New Roman" w:hAnsi="Times New Roman" w:cs="Times New Roman"/>
                <w:b/>
              </w:rPr>
            </w:pPr>
            <w:r>
              <w:rPr>
                <w:rFonts w:ascii="Times New Roman" w:hAnsi="Times New Roman" w:cs="Times New Roman"/>
                <w:b/>
              </w:rPr>
              <w:lastRenderedPageBreak/>
              <w:t>D+</w:t>
            </w:r>
          </w:p>
        </w:tc>
        <w:tc>
          <w:tcPr>
            <w:tcW w:w="1531" w:type="dxa"/>
            <w:tcBorders>
              <w:top w:val="single" w:sz="6" w:space="0" w:color="auto"/>
              <w:left w:val="single" w:sz="6" w:space="0" w:color="auto"/>
              <w:bottom w:val="single" w:sz="6" w:space="0" w:color="auto"/>
              <w:right w:val="single" w:sz="6" w:space="0" w:color="auto"/>
            </w:tcBorders>
            <w:hideMark/>
          </w:tcPr>
          <w:p w14:paraId="367B90F0"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67-69</w:t>
            </w:r>
          </w:p>
        </w:tc>
        <w:tc>
          <w:tcPr>
            <w:tcW w:w="1526" w:type="dxa"/>
            <w:tcBorders>
              <w:top w:val="single" w:sz="6" w:space="0" w:color="auto"/>
              <w:left w:val="single" w:sz="6" w:space="0" w:color="auto"/>
              <w:bottom w:val="single" w:sz="6" w:space="0" w:color="auto"/>
              <w:right w:val="single" w:sz="6" w:space="0" w:color="auto"/>
            </w:tcBorders>
          </w:tcPr>
          <w:p w14:paraId="3D740CDF"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6ED50861" w14:textId="77777777" w:rsidTr="005419DF">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39A061C8" w14:textId="77777777" w:rsidR="005419DF" w:rsidRDefault="005419DF">
            <w:pPr>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58D41231" w14:textId="77777777" w:rsidR="005419DF" w:rsidRDefault="005419DF">
            <w:pPr>
              <w:spacing w:line="276" w:lineRule="auto"/>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5ACAC827"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64-66</w:t>
            </w:r>
          </w:p>
        </w:tc>
        <w:tc>
          <w:tcPr>
            <w:tcW w:w="1526" w:type="dxa"/>
            <w:tcBorders>
              <w:top w:val="single" w:sz="6" w:space="0" w:color="auto"/>
              <w:left w:val="single" w:sz="6" w:space="0" w:color="auto"/>
              <w:bottom w:val="single" w:sz="6" w:space="0" w:color="auto"/>
              <w:right w:val="single" w:sz="6" w:space="0" w:color="auto"/>
            </w:tcBorders>
          </w:tcPr>
          <w:p w14:paraId="306D5EA7"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B45B61C" w14:textId="77777777" w:rsidTr="005419DF">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7DAF57A9" w14:textId="77777777" w:rsidR="005419DF" w:rsidRDefault="005419DF">
            <w:pPr>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4AC2FA49" w14:textId="77777777" w:rsidR="005419DF" w:rsidRDefault="005419DF">
            <w:pPr>
              <w:spacing w:line="276" w:lineRule="auto"/>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3508A128"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60-63</w:t>
            </w:r>
          </w:p>
        </w:tc>
        <w:tc>
          <w:tcPr>
            <w:tcW w:w="1526" w:type="dxa"/>
            <w:tcBorders>
              <w:top w:val="single" w:sz="6" w:space="0" w:color="auto"/>
              <w:left w:val="single" w:sz="6" w:space="0" w:color="auto"/>
              <w:bottom w:val="single" w:sz="6" w:space="0" w:color="auto"/>
              <w:right w:val="single" w:sz="6" w:space="0" w:color="auto"/>
            </w:tcBorders>
          </w:tcPr>
          <w:p w14:paraId="271B3ED2"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09D0A009" w14:textId="77777777" w:rsidTr="005419DF">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1C683660" w14:textId="77777777" w:rsidR="005419DF" w:rsidRDefault="005419DF">
            <w:pPr>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64FAD16C" w14:textId="77777777" w:rsidR="005419DF" w:rsidRDefault="005419DF">
            <w:pPr>
              <w:spacing w:line="276" w:lineRule="auto"/>
              <w:rPr>
                <w:rFonts w:ascii="Times New Roman" w:hAnsi="Times New Roman" w:cs="Times New Roman"/>
                <w:b/>
              </w:rPr>
            </w:pPr>
            <w:r>
              <w:rPr>
                <w:rFonts w:ascii="Times New Roman" w:hAnsi="Times New Roman" w:cs="Times New Roman"/>
                <w:b/>
              </w:rPr>
              <w:t>F</w:t>
            </w:r>
          </w:p>
        </w:tc>
        <w:tc>
          <w:tcPr>
            <w:tcW w:w="1531" w:type="dxa"/>
            <w:tcBorders>
              <w:top w:val="single" w:sz="6" w:space="0" w:color="auto"/>
              <w:left w:val="single" w:sz="6" w:space="0" w:color="auto"/>
              <w:bottom w:val="single" w:sz="6" w:space="0" w:color="auto"/>
              <w:right w:val="single" w:sz="6" w:space="0" w:color="auto"/>
            </w:tcBorders>
            <w:hideMark/>
          </w:tcPr>
          <w:p w14:paraId="05410031"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&lt;60</w:t>
            </w:r>
          </w:p>
        </w:tc>
        <w:tc>
          <w:tcPr>
            <w:tcW w:w="1526" w:type="dxa"/>
            <w:tcBorders>
              <w:top w:val="single" w:sz="6" w:space="0" w:color="auto"/>
              <w:left w:val="single" w:sz="6" w:space="0" w:color="auto"/>
              <w:bottom w:val="single" w:sz="6" w:space="0" w:color="auto"/>
              <w:right w:val="single" w:sz="6" w:space="0" w:color="auto"/>
            </w:tcBorders>
          </w:tcPr>
          <w:p w14:paraId="29B1171E" w14:textId="77777777" w:rsidR="005419DF" w:rsidRDefault="005419DF">
            <w:pPr>
              <w:autoSpaceDE w:val="0"/>
              <w:autoSpaceDN w:val="0"/>
              <w:adjustRightInd w:val="0"/>
              <w:spacing w:line="276" w:lineRule="auto"/>
              <w:ind w:right="-60"/>
              <w:rPr>
                <w:rFonts w:ascii="Times New Roman" w:hAnsi="Times New Roman" w:cs="Times New Roman"/>
              </w:rPr>
            </w:pPr>
          </w:p>
        </w:tc>
      </w:tr>
    </w:tbl>
    <w:p w14:paraId="23982D59" w14:textId="77777777" w:rsidR="005419DF" w:rsidRDefault="005419DF" w:rsidP="005419DF">
      <w:pPr>
        <w:widowControl w:val="0"/>
        <w:autoSpaceDE w:val="0"/>
        <w:autoSpaceDN w:val="0"/>
        <w:adjustRightInd w:val="0"/>
        <w:rPr>
          <w:rFonts w:ascii="Bookman Old Style" w:hAnsi="Bookman Old Style" w:cs="Times New Roman"/>
          <w:color w:val="000000"/>
        </w:rPr>
      </w:pPr>
    </w:p>
    <w:p w14:paraId="20106C07" w14:textId="77777777" w:rsidR="005419DF" w:rsidRDefault="005419DF" w:rsidP="005419DF">
      <w:pPr>
        <w:widowControl w:val="0"/>
        <w:autoSpaceDE w:val="0"/>
        <w:autoSpaceDN w:val="0"/>
        <w:adjustRightInd w:val="0"/>
        <w:rPr>
          <w:rFonts w:ascii="Bookman Old Style" w:hAnsi="Bookman Old Style" w:cs="Times New Roman"/>
          <w:color w:val="000000"/>
        </w:rPr>
      </w:pPr>
      <w:r w:rsidRPr="00241589">
        <w:rPr>
          <w:rFonts w:ascii="Bookman Old Style" w:hAnsi="Bookman Old Style" w:cs="Times New Roman"/>
          <w:color w:val="000000"/>
          <w:highlight w:val="yellow"/>
        </w:rPr>
        <w:t>A grade of C or higher is required to pass all undergraduate courses and to progress in the program.</w:t>
      </w:r>
      <w:r>
        <w:rPr>
          <w:rFonts w:ascii="Bookman Old Style" w:hAnsi="Bookman Old Style" w:cs="Times New Roman"/>
          <w:color w:val="000000"/>
        </w:rPr>
        <w:t xml:space="preserve"> Grades in undergraduate courses are not rounded up. If you have questions, please review BSN Completion Handbook and your instructor.</w:t>
      </w:r>
    </w:p>
    <w:p w14:paraId="310D00F7" w14:textId="77777777" w:rsidR="005419DF" w:rsidRDefault="005419DF" w:rsidP="005419DF">
      <w:pPr>
        <w:pStyle w:val="Heading1"/>
        <w:rPr>
          <w:rFonts w:ascii="Bookman Old Style" w:hAnsi="Bookman Old Style"/>
        </w:rPr>
      </w:pPr>
      <w:r>
        <w:rPr>
          <w:rFonts w:ascii="Bookman Old Style" w:hAnsi="Bookman Old Style"/>
        </w:rPr>
        <w:t>Course Format:</w:t>
      </w:r>
    </w:p>
    <w:p w14:paraId="5AEAD4F4" w14:textId="5C70873C" w:rsidR="005419DF" w:rsidRDefault="005419DF" w:rsidP="005419DF">
      <w:pPr>
        <w:rPr>
          <w:rFonts w:ascii="Bookman Old Style" w:hAnsi="Bookman Old Style"/>
        </w:rPr>
      </w:pPr>
      <w:r>
        <w:rPr>
          <w:rFonts w:ascii="Bookman Old Style" w:hAnsi="Bookman Old Style"/>
        </w:rPr>
        <w:t xml:space="preserve">Students are expected to be active participants in the learning process by assuming responsibility for their own learning, being active participants in the face to face and online </w:t>
      </w:r>
      <w:r w:rsidR="00241589">
        <w:rPr>
          <w:rFonts w:ascii="Bookman Old Style" w:hAnsi="Bookman Old Style"/>
        </w:rPr>
        <w:t>classroom and</w:t>
      </w:r>
      <w:r>
        <w:rPr>
          <w:rFonts w:ascii="Bookman Old Style" w:hAnsi="Bookman Old Style"/>
        </w:rPr>
        <w:t xml:space="preserve"> working collaboratively with others in the course. The role of the faculty is to facilitate students’ learning. Teaching strategies may include asynchronous lecture, Zoom meetings, readings/articles, online discussion, small group work, and written assignments.  All course-related materials are located on Canvas. Students must have computer and internet access for best success. Only campus email addresses will be used.</w:t>
      </w:r>
    </w:p>
    <w:p w14:paraId="7DF86A94" w14:textId="77777777" w:rsidR="005419DF" w:rsidRDefault="005419DF" w:rsidP="005419DF">
      <w:pPr>
        <w:rPr>
          <w:rFonts w:ascii="Bookman Old Style" w:hAnsi="Bookman Old Style"/>
        </w:rPr>
      </w:pPr>
    </w:p>
    <w:p w14:paraId="3E1DBD15" w14:textId="19EBF4AF" w:rsidR="005419DF" w:rsidRDefault="005419DF" w:rsidP="005419DF">
      <w:pPr>
        <w:rPr>
          <w:rFonts w:ascii="Bookman Old Style" w:hAnsi="Bookman Old Style"/>
        </w:rPr>
      </w:pPr>
      <w:r>
        <w:rPr>
          <w:rFonts w:ascii="Bookman Old Style" w:hAnsi="Bookman Old Style"/>
          <w:b/>
        </w:rPr>
        <w:t xml:space="preserve">Course Calendar: </w:t>
      </w:r>
      <w:r>
        <w:rPr>
          <w:rFonts w:ascii="Bookman Old Style" w:hAnsi="Bookman Old Style"/>
        </w:rPr>
        <w:t>Please refer to C</w:t>
      </w:r>
      <w:r w:rsidR="00241589">
        <w:rPr>
          <w:rFonts w:ascii="Bookman Old Style" w:hAnsi="Bookman Old Style"/>
        </w:rPr>
        <w:t>anvas</w:t>
      </w:r>
      <w:r>
        <w:rPr>
          <w:rFonts w:ascii="Bookman Old Style" w:hAnsi="Bookman Old Style"/>
        </w:rPr>
        <w:t xml:space="preserve"> Calendar for assignment deadlines and other weekly activities. </w:t>
      </w:r>
    </w:p>
    <w:p w14:paraId="10D55AF6" w14:textId="77777777" w:rsidR="00241589" w:rsidRDefault="00241589" w:rsidP="001476AD">
      <w:pPr>
        <w:rPr>
          <w:rFonts w:ascii="Bookman Old Style" w:hAnsi="Bookman Old Style"/>
          <w:b/>
        </w:rPr>
      </w:pPr>
    </w:p>
    <w:p w14:paraId="071FA186" w14:textId="6400E16F" w:rsidR="001476AD" w:rsidRPr="003F49A6" w:rsidRDefault="001476AD" w:rsidP="001476AD">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638441B5" w14:textId="77777777" w:rsidR="001476AD" w:rsidRPr="003F49A6" w:rsidRDefault="001476AD" w:rsidP="001476AD">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complete required readings and assigned activities.</w:t>
      </w:r>
    </w:p>
    <w:p w14:paraId="63D9A726" w14:textId="77777777" w:rsidR="001476AD" w:rsidRPr="003F49A6" w:rsidRDefault="001476AD" w:rsidP="001476AD">
      <w:pPr>
        <w:ind w:firstLine="720"/>
        <w:rPr>
          <w:rFonts w:ascii="Bookman Old Style" w:hAnsi="Bookman Old Style"/>
        </w:rPr>
      </w:pPr>
      <w:r w:rsidRPr="003F49A6">
        <w:rPr>
          <w:rFonts w:ascii="Bookman Old Style" w:hAnsi="Bookman Old Style"/>
        </w:rPr>
        <w:t>- share perspectives online, engage online.</w:t>
      </w:r>
    </w:p>
    <w:p w14:paraId="2FEE5A50" w14:textId="77777777" w:rsidR="001476AD" w:rsidRPr="003F49A6" w:rsidRDefault="001476AD" w:rsidP="001476AD">
      <w:pPr>
        <w:ind w:firstLine="720"/>
        <w:rPr>
          <w:rFonts w:ascii="Bookman Old Style" w:hAnsi="Bookman Old Style"/>
        </w:rPr>
      </w:pPr>
      <w:r w:rsidRPr="003F49A6">
        <w:rPr>
          <w:rFonts w:ascii="Bookman Old Style" w:hAnsi="Bookman Old Style"/>
        </w:rPr>
        <w:t>- answer questions posed using reasoning and sound rationale.</w:t>
      </w:r>
    </w:p>
    <w:p w14:paraId="660B6C0D" w14:textId="77777777" w:rsidR="001476AD" w:rsidRPr="003F49A6" w:rsidRDefault="001476AD" w:rsidP="001476AD">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5F3D2961" w14:textId="7BF40038" w:rsidR="001476AD" w:rsidRDefault="001476AD" w:rsidP="001476AD">
      <w:pPr>
        <w:ind w:left="720"/>
        <w:rPr>
          <w:rFonts w:ascii="Bookman Old Style" w:hAnsi="Bookman Old Style"/>
        </w:rPr>
      </w:pPr>
      <w:r w:rsidRPr="003F49A6">
        <w:rPr>
          <w:rFonts w:ascii="Bookman Old Style" w:hAnsi="Bookman Old Style"/>
        </w:rPr>
        <w:t>- Attend all class sessions, if virtual with camera on and engaged.</w:t>
      </w:r>
    </w:p>
    <w:p w14:paraId="5AB96F2F" w14:textId="16EB4E3F" w:rsidR="00105B3F" w:rsidRDefault="00105B3F" w:rsidP="001476AD">
      <w:pPr>
        <w:ind w:left="720"/>
        <w:rPr>
          <w:rFonts w:ascii="Bookman Old Style" w:hAnsi="Bookman Old Style"/>
        </w:rPr>
      </w:pPr>
    </w:p>
    <w:p w14:paraId="24587905" w14:textId="4C9EFDEC" w:rsidR="00105B3F" w:rsidRPr="00105B3F" w:rsidRDefault="00105B3F" w:rsidP="00105B3F">
      <w:pPr>
        <w:pStyle w:val="Default"/>
        <w:rPr>
          <w:rFonts w:ascii="Bookman Old Style" w:hAnsi="Bookman Old Style"/>
          <w:b/>
          <w:bCs/>
          <w:sz w:val="22"/>
          <w:szCs w:val="22"/>
        </w:rPr>
      </w:pPr>
      <w:r w:rsidRPr="00105B3F">
        <w:rPr>
          <w:rFonts w:ascii="Bookman Old Style" w:hAnsi="Bookman Old Style"/>
          <w:b/>
          <w:bCs/>
          <w:sz w:val="22"/>
          <w:szCs w:val="22"/>
        </w:rPr>
        <w:t xml:space="preserve">Participation/engagement graded in attendance, review of recorded lectures and Zoom/Discussions. This is based on attending all class sessions (live and archived), online engagement </w:t>
      </w:r>
      <w:proofErr w:type="spellStart"/>
      <w:r w:rsidRPr="00105B3F">
        <w:rPr>
          <w:rFonts w:ascii="Bookman Old Style" w:hAnsi="Bookman Old Style"/>
          <w:b/>
          <w:bCs/>
          <w:sz w:val="22"/>
          <w:szCs w:val="22"/>
        </w:rPr>
        <w:t>ie</w:t>
      </w:r>
      <w:proofErr w:type="spellEnd"/>
      <w:r w:rsidRPr="00105B3F">
        <w:rPr>
          <w:rFonts w:ascii="Bookman Old Style" w:hAnsi="Bookman Old Style"/>
          <w:b/>
          <w:bCs/>
          <w:sz w:val="22"/>
          <w:szCs w:val="22"/>
        </w:rPr>
        <w:t>: discussions, viewing recorded lectures, time commitment and overall engagement in class.</w:t>
      </w:r>
      <w:r>
        <w:rPr>
          <w:rFonts w:ascii="Bookman Old Style" w:hAnsi="Bookman Old Style"/>
          <w:b/>
          <w:bCs/>
          <w:sz w:val="22"/>
          <w:szCs w:val="22"/>
        </w:rPr>
        <w:t xml:space="preserve">  You will need to login to UWSP with your credentials to enter Zoom, live and archives.</w:t>
      </w:r>
    </w:p>
    <w:p w14:paraId="5C257724" w14:textId="77777777" w:rsidR="00105B3F" w:rsidRPr="003F49A6" w:rsidRDefault="00105B3F" w:rsidP="001476AD">
      <w:pPr>
        <w:ind w:left="720"/>
        <w:rPr>
          <w:rFonts w:ascii="Bookman Old Style" w:hAnsi="Bookman Old Style"/>
          <w:b/>
        </w:rPr>
      </w:pPr>
    </w:p>
    <w:p w14:paraId="055B12B7" w14:textId="77777777" w:rsidR="005419DF" w:rsidRDefault="005419DF" w:rsidP="005419DF">
      <w:pPr>
        <w:rPr>
          <w:rFonts w:ascii="Bookman Old Style" w:hAnsi="Bookman Old Style"/>
          <w:b/>
        </w:rPr>
      </w:pPr>
      <w:r>
        <w:rPr>
          <w:rFonts w:ascii="Bookman Old Style" w:hAnsi="Bookman Old Style"/>
          <w:b/>
        </w:rPr>
        <w:t>To assure success in this course, several strategies are recommended:</w:t>
      </w:r>
    </w:p>
    <w:p w14:paraId="11E99A26" w14:textId="77777777" w:rsidR="005419DF" w:rsidRDefault="005419DF" w:rsidP="005419DF">
      <w:pPr>
        <w:rPr>
          <w:rFonts w:ascii="Bookman Old Style" w:hAnsi="Bookman Old Style"/>
          <w:b/>
        </w:rPr>
      </w:pPr>
    </w:p>
    <w:p w14:paraId="49CB68F7" w14:textId="77777777" w:rsidR="005419DF" w:rsidRDefault="005419DF" w:rsidP="005419DF">
      <w:pPr>
        <w:rPr>
          <w:rFonts w:ascii="Bookman Old Style" w:hAnsi="Bookman Old Style"/>
        </w:rPr>
      </w:pPr>
      <w:r>
        <w:rPr>
          <w:rFonts w:ascii="Bookman Old Style" w:hAnsi="Bookman Old Style"/>
        </w:rPr>
        <w:t xml:space="preserve">1.  Complete all assigned readings prior to the class in which they are covered.  These will be outlined in the class schedule and/or given in class. </w:t>
      </w:r>
    </w:p>
    <w:p w14:paraId="1B86984F" w14:textId="4D8C629A" w:rsidR="005419DF" w:rsidRDefault="005419DF" w:rsidP="005419DF">
      <w:pPr>
        <w:rPr>
          <w:rFonts w:ascii="Bookman Old Style" w:hAnsi="Bookman Old Style"/>
        </w:rPr>
      </w:pPr>
      <w:r>
        <w:rPr>
          <w:rFonts w:ascii="Bookman Old Style" w:hAnsi="Bookman Old Style"/>
        </w:rPr>
        <w:t xml:space="preserve">2.  </w:t>
      </w:r>
      <w:r w:rsidR="00241589">
        <w:rPr>
          <w:rFonts w:ascii="Bookman Old Style" w:hAnsi="Bookman Old Style"/>
        </w:rPr>
        <w:t>Check Canvas</w:t>
      </w:r>
      <w:r>
        <w:rPr>
          <w:rFonts w:ascii="Bookman Old Style" w:hAnsi="Bookman Old Style"/>
        </w:rPr>
        <w:t xml:space="preserve"> Calendar to stay organized</w:t>
      </w:r>
      <w:r w:rsidR="00241589">
        <w:rPr>
          <w:rFonts w:ascii="Bookman Old Style" w:hAnsi="Bookman Old Style"/>
        </w:rPr>
        <w:t>, write down due dates.</w:t>
      </w:r>
    </w:p>
    <w:p w14:paraId="158DDA9B" w14:textId="77777777" w:rsidR="005419DF" w:rsidRDefault="005419DF" w:rsidP="005419DF">
      <w:pPr>
        <w:rPr>
          <w:rFonts w:ascii="Bookman Old Style" w:hAnsi="Bookman Old Style"/>
        </w:rPr>
      </w:pPr>
      <w:r>
        <w:rPr>
          <w:rFonts w:ascii="Bookman Old Style" w:hAnsi="Bookman Old Style"/>
        </w:rPr>
        <w:t>3.  Use the resources provided in CANVAS for guidance and to ensure the quality of work.</w:t>
      </w:r>
    </w:p>
    <w:p w14:paraId="7E081FDB" w14:textId="77777777" w:rsidR="005419DF" w:rsidRDefault="005419DF" w:rsidP="005419DF">
      <w:pPr>
        <w:tabs>
          <w:tab w:val="right" w:pos="8640"/>
        </w:tabs>
        <w:rPr>
          <w:rFonts w:ascii="Bookman Old Style" w:hAnsi="Bookman Old Style"/>
        </w:rPr>
      </w:pPr>
      <w:r>
        <w:rPr>
          <w:rFonts w:ascii="Bookman Old Style" w:hAnsi="Bookman Old Style"/>
        </w:rPr>
        <w:t>4.  Read assignment guidelines and rubrics before beginning work on learning activities. Review criteria frequently to ensure completeness and understanding of assignment expectations.</w:t>
      </w:r>
    </w:p>
    <w:p w14:paraId="18BB1391" w14:textId="77777777" w:rsidR="005419DF" w:rsidRDefault="005419DF" w:rsidP="005419DF">
      <w:pPr>
        <w:tabs>
          <w:tab w:val="right" w:pos="8640"/>
        </w:tabs>
        <w:rPr>
          <w:rFonts w:ascii="Bookman Old Style" w:hAnsi="Bookman Old Style"/>
        </w:rPr>
      </w:pPr>
      <w:r>
        <w:rPr>
          <w:rFonts w:ascii="Bookman Old Style" w:hAnsi="Bookman Old Style"/>
        </w:rPr>
        <w:lastRenderedPageBreak/>
        <w:t xml:space="preserve">5.  Read all e-mails and the announcements in CANVAS.  Students are responsible for any information in either of these formats. </w:t>
      </w:r>
    </w:p>
    <w:p w14:paraId="5BEA50A8" w14:textId="77777777" w:rsidR="005419DF" w:rsidRDefault="005419DF" w:rsidP="005419DF">
      <w:pPr>
        <w:rPr>
          <w:rFonts w:ascii="Bookman Old Style" w:hAnsi="Bookman Old Style"/>
        </w:rPr>
      </w:pPr>
      <w:r>
        <w:rPr>
          <w:rFonts w:ascii="Bookman Old Style" w:hAnsi="Bookman Old Style"/>
        </w:rPr>
        <w:t xml:space="preserve">6.  Contact instructor whenever necessary for clarification of student expectations. </w:t>
      </w:r>
      <w:r>
        <w:rPr>
          <w:rFonts w:ascii="Bookman Old Style" w:hAnsi="Bookman Old Style"/>
        </w:rPr>
        <w:tab/>
      </w:r>
    </w:p>
    <w:p w14:paraId="47251299" w14:textId="77777777" w:rsidR="005419DF" w:rsidRDefault="005419DF" w:rsidP="005419DF">
      <w:pPr>
        <w:rPr>
          <w:rFonts w:ascii="Bookman Old Style" w:hAnsi="Bookman Old Style"/>
          <w:b/>
        </w:rPr>
      </w:pPr>
    </w:p>
    <w:p w14:paraId="7447620D" w14:textId="77777777" w:rsidR="005419DF" w:rsidRDefault="005419DF" w:rsidP="005419DF">
      <w:pPr>
        <w:rPr>
          <w:rFonts w:ascii="Bookman Old Style" w:hAnsi="Bookman Old Style"/>
        </w:rPr>
      </w:pPr>
      <w:r>
        <w:rPr>
          <w:rFonts w:ascii="Bookman Old Style" w:hAnsi="Bookman Old Style"/>
          <w:b/>
        </w:rPr>
        <w:t xml:space="preserve">Late assignments: </w:t>
      </w:r>
      <w:r>
        <w:rPr>
          <w:rFonts w:ascii="Bookman Old Style" w:hAnsi="Bookman Old Style"/>
          <w:b/>
          <w:i/>
        </w:rPr>
        <w:t xml:space="preserve"> </w:t>
      </w:r>
      <w:r>
        <w:rPr>
          <w:rFonts w:ascii="Bookman Old Style" w:hAnsi="Bookman Old Style"/>
        </w:rPr>
        <w:t xml:space="preserve">Late assignments will be docked 10% each overdue day, including weekends. </w:t>
      </w:r>
    </w:p>
    <w:p w14:paraId="71899131" w14:textId="77777777" w:rsidR="005419DF" w:rsidRDefault="005419DF" w:rsidP="005419DF">
      <w:pPr>
        <w:tabs>
          <w:tab w:val="right" w:pos="8640"/>
        </w:tabs>
        <w:rPr>
          <w:rFonts w:ascii="Bookman Old Style" w:hAnsi="Bookman Old Style"/>
        </w:rPr>
      </w:pPr>
    </w:p>
    <w:p w14:paraId="45940A66" w14:textId="77777777" w:rsidR="005419DF" w:rsidRDefault="005419DF" w:rsidP="005419DF">
      <w:pPr>
        <w:pStyle w:val="Heading1"/>
        <w:rPr>
          <w:rFonts w:ascii="Bookman Old Style" w:hAnsi="Bookman Old Style"/>
        </w:rPr>
      </w:pPr>
      <w:r>
        <w:rPr>
          <w:rFonts w:ascii="Bookman Old Style" w:hAnsi="Bookman Old Style"/>
          <w:b/>
          <w:bCs/>
        </w:rPr>
        <w:t xml:space="preserve">Statement of Student Time Commitment </w:t>
      </w:r>
    </w:p>
    <w:p w14:paraId="5B5FBFCC" w14:textId="5DD78159" w:rsidR="005419DF" w:rsidRPr="00105B3F" w:rsidRDefault="005419DF" w:rsidP="005419DF">
      <w:pPr>
        <w:pStyle w:val="Default"/>
        <w:rPr>
          <w:rFonts w:ascii="Bookman Old Style" w:hAnsi="Bookman Old Style"/>
          <w:b/>
          <w:bCs/>
          <w:sz w:val="22"/>
          <w:szCs w:val="22"/>
        </w:rPr>
      </w:pPr>
      <w:r>
        <w:rPr>
          <w:rFonts w:ascii="Bookman Old Style" w:hAnsi="Bookman Old Style"/>
        </w:rPr>
        <w:t xml:space="preserve">For each course credit, students are expected to spend a minimum 3 hours/week on coursework. Therefore, for a three-credit </w:t>
      </w:r>
      <w:r w:rsidR="00241589">
        <w:rPr>
          <w:rFonts w:ascii="Bookman Old Style" w:hAnsi="Bookman Old Style"/>
        </w:rPr>
        <w:t>16-week</w:t>
      </w:r>
      <w:r>
        <w:rPr>
          <w:rFonts w:ascii="Bookman Old Style" w:hAnsi="Bookman Old Style"/>
        </w:rPr>
        <w:t xml:space="preserve"> course, at least 9 hours/week is expected. This is a general guideline which may vary depending on the assignments &amp;/or</w:t>
      </w:r>
      <w:r>
        <w:rPr>
          <w:rFonts w:ascii="Bookman Old Style" w:hAnsi="Bookman Old Style"/>
          <w:sz w:val="22"/>
          <w:szCs w:val="22"/>
        </w:rPr>
        <w:t xml:space="preserve"> quizzes.  </w:t>
      </w:r>
      <w:r w:rsidR="00105B3F">
        <w:rPr>
          <w:rFonts w:ascii="Bookman Old Style" w:hAnsi="Bookman Old Style"/>
          <w:b/>
          <w:bCs/>
          <w:sz w:val="22"/>
          <w:szCs w:val="22"/>
        </w:rPr>
        <w:t>If the</w:t>
      </w:r>
      <w:r w:rsidRPr="00105B3F">
        <w:rPr>
          <w:rFonts w:ascii="Bookman Old Style" w:hAnsi="Bookman Old Style"/>
          <w:b/>
          <w:bCs/>
          <w:sz w:val="22"/>
          <w:szCs w:val="22"/>
        </w:rPr>
        <w:t xml:space="preserve"> course </w:t>
      </w:r>
      <w:r w:rsidR="00105B3F">
        <w:rPr>
          <w:rFonts w:ascii="Bookman Old Style" w:hAnsi="Bookman Old Style"/>
          <w:b/>
          <w:bCs/>
          <w:sz w:val="22"/>
          <w:szCs w:val="22"/>
        </w:rPr>
        <w:t>is</w:t>
      </w:r>
      <w:r w:rsidRPr="00105B3F">
        <w:rPr>
          <w:rFonts w:ascii="Bookman Old Style" w:hAnsi="Bookman Old Style"/>
          <w:b/>
          <w:bCs/>
          <w:sz w:val="22"/>
          <w:szCs w:val="22"/>
        </w:rPr>
        <w:t xml:space="preserve"> offered in shorter 8</w:t>
      </w:r>
      <w:r w:rsidR="00241589">
        <w:rPr>
          <w:rFonts w:ascii="Bookman Old Style" w:hAnsi="Bookman Old Style"/>
          <w:b/>
          <w:bCs/>
          <w:sz w:val="22"/>
          <w:szCs w:val="22"/>
        </w:rPr>
        <w:t>-</w:t>
      </w:r>
      <w:r w:rsidRPr="00105B3F">
        <w:rPr>
          <w:rFonts w:ascii="Bookman Old Style" w:hAnsi="Bookman Old Style"/>
          <w:b/>
          <w:bCs/>
          <w:sz w:val="22"/>
          <w:szCs w:val="22"/>
        </w:rPr>
        <w:t>week timeframe, use 3 hours/3 credit rule and multiple x2. (18 hours/week)</w:t>
      </w:r>
    </w:p>
    <w:p w14:paraId="034DDFA9" w14:textId="77777777" w:rsidR="005419DF" w:rsidRDefault="005419DF" w:rsidP="005419DF">
      <w:pPr>
        <w:pStyle w:val="Heading1"/>
        <w:rPr>
          <w:rFonts w:ascii="Bookman Old Style" w:hAnsi="Bookman Old Style"/>
        </w:rPr>
      </w:pPr>
      <w:r>
        <w:rPr>
          <w:rFonts w:ascii="Bookman Old Style" w:hAnsi="Bookman Old Style"/>
        </w:rPr>
        <w:t xml:space="preserve">Turnitin: </w:t>
      </w:r>
    </w:p>
    <w:p w14:paraId="2596823C" w14:textId="3A426228" w:rsidR="005419DF" w:rsidRDefault="005419DF" w:rsidP="00947E06">
      <w:pPr>
        <w:rPr>
          <w:rFonts w:ascii="Bookman Old Style" w:hAnsi="Bookman Old Style"/>
        </w:rPr>
      </w:pPr>
      <w:r>
        <w:rPr>
          <w:rFonts w:ascii="Bookman Old Style" w:hAnsi="Bookman Old Style"/>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r w:rsidR="00241589">
        <w:rPr>
          <w:rFonts w:ascii="Bookman Old Style" w:hAnsi="Bookman Old Style"/>
        </w:rPr>
        <w:t>submitted,</w:t>
      </w:r>
      <w:r>
        <w:rPr>
          <w:rFonts w:ascii="Bookman Old Style" w:hAnsi="Bookman Old Style"/>
        </w:rPr>
        <w:t xml:space="preserve"> and an originality report will be produced. Papers with an originality report over 18% need revisions and citation corrections to bring the count below this number. Reports can take several hours to </w:t>
      </w:r>
      <w:r w:rsidR="00241589">
        <w:rPr>
          <w:rFonts w:ascii="Bookman Old Style" w:hAnsi="Bookman Old Style"/>
        </w:rPr>
        <w:t>generate;</w:t>
      </w:r>
      <w:r>
        <w:rPr>
          <w:rFonts w:ascii="Bookman Old Style" w:hAnsi="Bookman Old Style"/>
        </w:rPr>
        <w:t xml:space="preserve"> therefore time must be built in to make necessary revisions before the paper due date. </w:t>
      </w:r>
    </w:p>
    <w:p w14:paraId="1A0F013B" w14:textId="77777777" w:rsidR="005419DF" w:rsidRDefault="005419DF" w:rsidP="005419DF">
      <w:pPr>
        <w:rPr>
          <w:rFonts w:ascii="Bookman Old Style" w:hAnsi="Bookman Old Style"/>
        </w:rPr>
      </w:pPr>
    </w:p>
    <w:p w14:paraId="19020C0A" w14:textId="6D1D0ACE" w:rsidR="005419DF" w:rsidRPr="00947E06" w:rsidRDefault="005419DF" w:rsidP="00947E06">
      <w:pPr>
        <w:pStyle w:val="Heading1"/>
        <w:rPr>
          <w:rFonts w:ascii="Bookman Old Style" w:hAnsi="Bookman Old Style"/>
        </w:rPr>
      </w:pPr>
      <w:r>
        <w:rPr>
          <w:rFonts w:ascii="Bookman Old Style" w:hAnsi="Bookman Old Style"/>
        </w:rPr>
        <w:t>POLICIES</w:t>
      </w:r>
    </w:p>
    <w:p w14:paraId="7E94A057" w14:textId="77777777" w:rsidR="005419DF" w:rsidRDefault="005419DF" w:rsidP="005419DF">
      <w:pPr>
        <w:pStyle w:val="Heading1"/>
        <w:spacing w:line="240" w:lineRule="auto"/>
        <w:rPr>
          <w:rFonts w:ascii="Bookman Old Style" w:hAnsi="Bookman Old Style"/>
        </w:rPr>
      </w:pPr>
      <w:r>
        <w:rPr>
          <w:rFonts w:ascii="Bookman Old Style" w:hAnsi="Bookman Old Style"/>
        </w:rPr>
        <w:t>Confidentiality</w:t>
      </w:r>
    </w:p>
    <w:p w14:paraId="26D8191A" w14:textId="77777777" w:rsidR="005419DF" w:rsidRDefault="005419DF" w:rsidP="005419DF">
      <w:pPr>
        <w:rPr>
          <w:rFonts w:ascii="Bookman Old Style" w:hAnsi="Bookman Old Style"/>
        </w:rPr>
      </w:pPr>
      <w:r>
        <w:rPr>
          <w:rFonts w:ascii="Bookman Old Style" w:hAnsi="Bookman Old Style"/>
        </w:rPr>
        <w:t>Learning requires risk-taking and sharing ideas. Please keep your classmates’ ideas and experiences confidential outside the classroom unless permission has been granted to share them.</w:t>
      </w:r>
    </w:p>
    <w:p w14:paraId="4B47B8B6" w14:textId="77777777" w:rsidR="005419DF" w:rsidRDefault="005419DF" w:rsidP="005419DF">
      <w:pPr>
        <w:rPr>
          <w:rFonts w:ascii="Bookman Old Style" w:hAnsi="Bookman Old Style"/>
          <w:b/>
        </w:rPr>
      </w:pPr>
    </w:p>
    <w:p w14:paraId="1985F5C9" w14:textId="78E5ACF9"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241589">
        <w:rPr>
          <w:rFonts w:ascii="Bookman Old Style" w:eastAsia="Calibri" w:hAnsi="Bookman Old Style" w:cs="Calibri"/>
          <w:color w:val="000000"/>
        </w:rPr>
        <w:t>assignments,</w:t>
      </w:r>
      <w:r>
        <w:rPr>
          <w:rFonts w:ascii="Bookman Old Style" w:eastAsia="Calibri" w:hAnsi="Bookman Old Style" w:cs="Calibri"/>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r w:rsidR="00241589">
        <w:rPr>
          <w:rFonts w:ascii="Bookman Old Style" w:eastAsia="Calibri" w:hAnsi="Bookman Old Style" w:cs="Calibri"/>
          <w:color w:val="000000"/>
        </w:rPr>
        <w:t>concerns,</w:t>
      </w:r>
      <w:r>
        <w:rPr>
          <w:rFonts w:ascii="Bookman Old Style" w:eastAsia="Calibri" w:hAnsi="Bookman Old Style" w:cs="Calibri"/>
          <w:color w:val="000000"/>
        </w:rPr>
        <w:t xml:space="preserve"> then an alternate assignment will be offered to you.</w:t>
      </w:r>
    </w:p>
    <w:p w14:paraId="4332E76D" w14:textId="77777777" w:rsidR="005419DF" w:rsidRDefault="005419DF" w:rsidP="005419DF">
      <w:pPr>
        <w:rPr>
          <w:rFonts w:ascii="Bookman Old Style" w:hAnsi="Bookman Old Style"/>
          <w:b/>
          <w:smallCaps/>
          <w:color w:val="000000"/>
        </w:rPr>
      </w:pPr>
    </w:p>
    <w:p w14:paraId="12E51E69" w14:textId="77777777" w:rsidR="005419DF" w:rsidRDefault="005419DF" w:rsidP="005419DF">
      <w:pPr>
        <w:keepNext/>
        <w:keepLines/>
        <w:spacing w:before="240"/>
        <w:outlineLvl w:val="0"/>
        <w:rPr>
          <w:rFonts w:ascii="Bookman Old Style" w:eastAsia="Calibri" w:hAnsi="Bookman Old Style" w:cs="Calibri"/>
          <w:color w:val="2E75B5"/>
          <w:sz w:val="32"/>
          <w:szCs w:val="32"/>
        </w:rPr>
      </w:pPr>
      <w:r>
        <w:rPr>
          <w:rFonts w:ascii="Bookman Old Style" w:eastAsia="Calibri" w:hAnsi="Bookman Old Style" w:cs="Calibri"/>
          <w:color w:val="2E75B5"/>
          <w:sz w:val="32"/>
          <w:szCs w:val="32"/>
        </w:rPr>
        <w:lastRenderedPageBreak/>
        <w:t>Academic Integrity</w:t>
      </w:r>
    </w:p>
    <w:p w14:paraId="7ACC6580" w14:textId="77777777" w:rsidR="005419DF" w:rsidRDefault="005419DF" w:rsidP="005419DF">
      <w:pPr>
        <w:rPr>
          <w:rFonts w:ascii="Bookman Old Style" w:eastAsia="Calibri" w:hAnsi="Bookman Old Style" w:cs="Calibri"/>
          <w:highlight w:val="white"/>
        </w:rPr>
      </w:pPr>
      <w:r>
        <w:rPr>
          <w:rFonts w:ascii="Bookman Old Style" w:eastAsia="Calibri" w:hAnsi="Bookman Old Style" w:cs="Calibri"/>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E5EEB05" w14:textId="77777777" w:rsidR="005419DF" w:rsidRDefault="005419DF" w:rsidP="005419DF">
      <w:pPr>
        <w:rPr>
          <w:rFonts w:ascii="Bookman Old Style" w:eastAsia="Calibri" w:hAnsi="Bookman Old Style" w:cs="Calibri"/>
          <w:highlight w:val="white"/>
        </w:rPr>
      </w:pPr>
    </w:p>
    <w:p w14:paraId="6A6ADAAF" w14:textId="77777777" w:rsidR="005419DF" w:rsidRDefault="005419DF" w:rsidP="005419DF">
      <w:pPr>
        <w:rPr>
          <w:rFonts w:ascii="Bookman Old Style" w:eastAsia="Calibri" w:hAnsi="Bookman Old Style" w:cs="Calibri"/>
          <w:i/>
          <w:color w:val="000000"/>
        </w:rPr>
      </w:pPr>
      <w:r>
        <w:rPr>
          <w:rFonts w:ascii="Bookman Old Style" w:eastAsia="Calibri" w:hAnsi="Bookman Old Style" w:cs="Calibri"/>
          <w:color w:val="000000"/>
        </w:rPr>
        <w:t xml:space="preserve"> </w:t>
      </w:r>
      <w:r>
        <w:rPr>
          <w:rFonts w:ascii="Bookman Old Style" w:eastAsia="Calibri" w:hAnsi="Bookman Old Style" w:cs="Calibri"/>
          <w:i/>
          <w:color w:val="000000"/>
        </w:rPr>
        <w:t>UWSP 14.03 Academic misconduct subject to disciplinary action.  </w:t>
      </w:r>
    </w:p>
    <w:p w14:paraId="20544A70"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(1)  Academic misconduct is an act in which a student:</w:t>
      </w:r>
    </w:p>
    <w:p w14:paraId="5CB85C83"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(a)  Seeks to claim credit for the work or efforts of another without authorization or citation;</w:t>
      </w:r>
    </w:p>
    <w:p w14:paraId="27C205C7"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(b)  Uses unauthorized materials or fabricated data in any academic exercise;</w:t>
      </w:r>
    </w:p>
    <w:p w14:paraId="59646441"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(c)  Forges or falsifies academic documents or records;</w:t>
      </w:r>
    </w:p>
    <w:p w14:paraId="7B66FDF5"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(d)  Intentionally impedes or damages the academic work of others;</w:t>
      </w:r>
    </w:p>
    <w:p w14:paraId="392992DF"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(e)  Engages in conduct aimed at making false representation of a student's academic performance; or</w:t>
      </w:r>
    </w:p>
    <w:p w14:paraId="0AF43A06"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(f)  Assists other students in any of these acts.</w:t>
      </w:r>
    </w:p>
    <w:p w14:paraId="5662B6D2"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 </w:t>
      </w:r>
    </w:p>
    <w:p w14:paraId="240C6A70"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 xml:space="preserve">(2)  Examples of academic misconduct include, but are not limited to: </w:t>
      </w:r>
    </w:p>
    <w:p w14:paraId="0B5BFD7E"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Cheating on an examination</w:t>
      </w:r>
    </w:p>
    <w:p w14:paraId="63188417"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Collaborating with others in work to be presented, contrary to the stated rules of the course</w:t>
      </w:r>
    </w:p>
    <w:p w14:paraId="3E9064D6"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Submitting a paper or assignment as one's own work when a part or all of the paper or assignment is the work of another</w:t>
      </w:r>
    </w:p>
    <w:p w14:paraId="44793098"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Submitting a paper or assignment that contains ideas or research of others without appropriately identifying the sources of those ideas</w:t>
      </w:r>
    </w:p>
    <w:p w14:paraId="784A22AA"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Stealing examinations or course materials</w:t>
      </w:r>
    </w:p>
    <w:p w14:paraId="4F20BFBB"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Submitting, if contrary to the rules of a course, work previously presented in another course</w:t>
      </w:r>
    </w:p>
    <w:p w14:paraId="36683908"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Tampering with the laboratory experiment or computer program of another student</w:t>
      </w:r>
    </w:p>
    <w:p w14:paraId="5760C86A"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36F5628D" w14:textId="77777777" w:rsidR="005419DF" w:rsidRDefault="005419DF" w:rsidP="005419DF">
      <w:pPr>
        <w:ind w:left="630" w:hanging="270"/>
        <w:rPr>
          <w:rFonts w:ascii="Bookman Old Style" w:eastAsia="Calibri" w:hAnsi="Bookman Old Style" w:cs="Calibri"/>
          <w:color w:val="000000"/>
        </w:rPr>
      </w:pPr>
    </w:p>
    <w:p w14:paraId="7ED27F1B" w14:textId="77777777" w:rsidR="005419DF" w:rsidRDefault="005419DF" w:rsidP="005419DF">
      <w:pPr>
        <w:spacing w:after="160"/>
        <w:rPr>
          <w:rFonts w:ascii="Bookman Old Style" w:eastAsia="Calibri" w:hAnsi="Bookman Old Style" w:cs="Calibri"/>
        </w:rPr>
      </w:pPr>
      <w:r>
        <w:rPr>
          <w:rFonts w:ascii="Bookman Old Style" w:eastAsia="Calibri" w:hAnsi="Bookman Old Style" w:cs="Calibri"/>
          <w:color w:val="000000"/>
        </w:rPr>
        <w:lastRenderedPageBreak/>
        <w:t xml:space="preserve">Students suspected of academic misconduct will be asked to meet with the instructor to discuss the concerns. If academic misconduct is evident, procedures for determining disciplinary sanctions will be followed as outlined in the </w:t>
      </w:r>
      <w:hyperlink r:id="rId8" w:history="1">
        <w:r>
          <w:rPr>
            <w:rStyle w:val="Hyperlink"/>
            <w:rFonts w:ascii="Bookman Old Style" w:eastAsia="Calibri" w:hAnsi="Bookman Old Style" w:cs="Calibri"/>
            <w:color w:val="0563C1"/>
          </w:rPr>
          <w:t>University System Administrative Code, Chapter 14</w:t>
        </w:r>
      </w:hyperlink>
      <w:r>
        <w:rPr>
          <w:rFonts w:ascii="Bookman Old Style" w:eastAsia="Calibri" w:hAnsi="Bookman Old Style" w:cs="Calibri"/>
          <w:color w:val="000000"/>
        </w:rPr>
        <w:t xml:space="preserve">.  </w:t>
      </w:r>
    </w:p>
    <w:p w14:paraId="6C631E60" w14:textId="77777777" w:rsidR="005419DF" w:rsidRDefault="005419DF" w:rsidP="005419DF">
      <w:pPr>
        <w:rPr>
          <w:rFonts w:ascii="Bookman Old Style" w:hAnsi="Bookman Old Style"/>
          <w:bCs/>
          <w:lang w:eastAsia="zh-CN"/>
        </w:rPr>
      </w:pPr>
    </w:p>
    <w:p w14:paraId="36D4FD8A" w14:textId="77777777" w:rsidR="00241589" w:rsidRDefault="00241589" w:rsidP="005419DF">
      <w:pPr>
        <w:rPr>
          <w:rFonts w:ascii="Bookman Old Style" w:hAnsi="Bookman Old Style"/>
          <w:b/>
          <w:bCs/>
          <w:lang w:eastAsia="zh-CN"/>
        </w:rPr>
      </w:pPr>
    </w:p>
    <w:p w14:paraId="00034B68" w14:textId="77777777" w:rsidR="00241589" w:rsidRDefault="00241589" w:rsidP="005419DF">
      <w:pPr>
        <w:rPr>
          <w:rFonts w:ascii="Bookman Old Style" w:hAnsi="Bookman Old Style"/>
          <w:b/>
          <w:bCs/>
          <w:lang w:eastAsia="zh-CN"/>
        </w:rPr>
      </w:pPr>
    </w:p>
    <w:p w14:paraId="3191348C" w14:textId="240F74DF" w:rsidR="005419DF" w:rsidRDefault="005419DF" w:rsidP="005419DF">
      <w:pPr>
        <w:rPr>
          <w:rFonts w:ascii="Bookman Old Style" w:hAnsi="Bookman Old Style"/>
          <w:b/>
          <w:bCs/>
          <w:lang w:eastAsia="zh-CN"/>
        </w:rPr>
      </w:pPr>
      <w:r>
        <w:rPr>
          <w:rFonts w:ascii="Bookman Old Style" w:hAnsi="Bookman Old Style"/>
          <w:b/>
          <w:bCs/>
          <w:lang w:eastAsia="zh-CN"/>
        </w:rPr>
        <w:t xml:space="preserve">Academic Accommodations </w:t>
      </w:r>
    </w:p>
    <w:p w14:paraId="2A99B973" w14:textId="5AFB91BE" w:rsidR="005419DF" w:rsidRDefault="005419DF" w:rsidP="005419DF">
      <w:pPr>
        <w:rPr>
          <w:rFonts w:ascii="Bookman Old Style" w:hAnsi="Bookman Old Style"/>
          <w:bCs/>
          <w:lang w:eastAsia="zh-CN"/>
        </w:rPr>
      </w:pPr>
      <w:r>
        <w:rPr>
          <w:rFonts w:ascii="Bookman Old Style" w:hAnsi="Bookman Old Style"/>
          <w:bCs/>
          <w:lang w:eastAsia="zh-CN"/>
        </w:rPr>
        <w:t>Support services are available for students with disabilities. Any student who has a disability and is in need of classroom and/or exam accommodations, please discuss with the instructor</w:t>
      </w:r>
      <w:r w:rsidR="00AF616A">
        <w:rPr>
          <w:rFonts w:ascii="Bookman Old Style" w:hAnsi="Bookman Old Style"/>
          <w:bCs/>
          <w:lang w:eastAsia="zh-CN"/>
        </w:rPr>
        <w:t>.</w:t>
      </w:r>
      <w:r>
        <w:rPr>
          <w:rFonts w:ascii="Bookman Old Style" w:hAnsi="Bookman Old Style"/>
          <w:bCs/>
          <w:lang w:eastAsia="zh-CN"/>
        </w:rPr>
        <w:t xml:space="preserve"> </w:t>
      </w:r>
    </w:p>
    <w:p w14:paraId="666C3B67" w14:textId="77777777" w:rsidR="005419DF" w:rsidRDefault="005419DF" w:rsidP="005419DF">
      <w:pPr>
        <w:rPr>
          <w:rFonts w:ascii="Bookman Old Style" w:hAnsi="Bookman Old Style"/>
          <w:b/>
          <w:bCs/>
          <w:lang w:eastAsia="zh-CN"/>
        </w:rPr>
      </w:pPr>
    </w:p>
    <w:p w14:paraId="612FDB52" w14:textId="77777777" w:rsidR="005419DF" w:rsidRDefault="005419DF" w:rsidP="005419DF">
      <w:pPr>
        <w:rPr>
          <w:rFonts w:ascii="Bookman Old Style" w:hAnsi="Bookman Old Style"/>
          <w:b/>
          <w:bCs/>
          <w:lang w:eastAsia="zh-CN"/>
        </w:rPr>
      </w:pPr>
      <w:r>
        <w:rPr>
          <w:rFonts w:ascii="Bookman Old Style" w:hAnsi="Bookman Old Style"/>
          <w:b/>
          <w:bCs/>
          <w:lang w:eastAsia="zh-CN"/>
        </w:rPr>
        <w:t>Confidentiality</w:t>
      </w:r>
    </w:p>
    <w:p w14:paraId="03FDD121"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3B4C8786"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FERPA </w:t>
      </w:r>
      <w:hyperlink r:id="rId9" w:history="1">
        <w:r>
          <w:rPr>
            <w:rStyle w:val="Hyperlink"/>
            <w:rFonts w:ascii="Bookman Old Style" w:hAnsi="Bookman Old Style"/>
            <w:bCs/>
            <w:lang w:eastAsia="zh-CN"/>
          </w:rPr>
          <w:t>http://www2.ed.gov/policy/gen/guid/fpco/ferpa/students.html</w:t>
        </w:r>
      </w:hyperlink>
    </w:p>
    <w:p w14:paraId="01F803CA"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HIPAA </w:t>
      </w:r>
      <w:hyperlink r:id="rId10" w:history="1">
        <w:r>
          <w:rPr>
            <w:rStyle w:val="Hyperlink"/>
            <w:rFonts w:ascii="Bookman Old Style" w:hAnsi="Bookman Old Style"/>
            <w:bCs/>
            <w:lang w:eastAsia="zh-CN"/>
          </w:rPr>
          <w:t>http://www.hhs.gov/ocr/privacy/hipaa/understanding/summary/index.html</w:t>
        </w:r>
      </w:hyperlink>
    </w:p>
    <w:p w14:paraId="22B60346" w14:textId="77777777" w:rsidR="005419DF" w:rsidRDefault="005419DF" w:rsidP="005419DF">
      <w:pPr>
        <w:rPr>
          <w:rFonts w:ascii="Bookman Old Style" w:hAnsi="Bookman Old Style"/>
          <w:b/>
          <w:bCs/>
          <w:lang w:eastAsia="zh-CN"/>
        </w:rPr>
      </w:pPr>
    </w:p>
    <w:p w14:paraId="3BA85253" w14:textId="77777777" w:rsidR="005419DF" w:rsidRDefault="005419DF" w:rsidP="005419DF">
      <w:pPr>
        <w:rPr>
          <w:rFonts w:ascii="Bookman Old Style" w:hAnsi="Bookman Old Style"/>
          <w:b/>
          <w:bCs/>
          <w:lang w:eastAsia="zh-CN"/>
        </w:rPr>
      </w:pPr>
      <w:r>
        <w:rPr>
          <w:rFonts w:ascii="Bookman Old Style" w:hAnsi="Bookman Old Style"/>
          <w:b/>
          <w:bCs/>
          <w:lang w:eastAsia="zh-CN"/>
        </w:rPr>
        <w:t>Netiquette</w:t>
      </w:r>
    </w:p>
    <w:p w14:paraId="436B05FB" w14:textId="300DF957" w:rsidR="005419DF" w:rsidRDefault="005419DF" w:rsidP="005419DF">
      <w:pPr>
        <w:rPr>
          <w:rFonts w:ascii="Bookman Old Style" w:hAnsi="Bookman Old Style"/>
          <w:bCs/>
          <w:lang w:eastAsia="zh-CN"/>
        </w:rPr>
      </w:pPr>
      <w:r>
        <w:rPr>
          <w:rFonts w:ascii="Bookman Old Style" w:hAnsi="Bookman Old Style"/>
          <w:bCs/>
          <w:lang w:eastAsia="zh-CN"/>
        </w:rPr>
        <w:t xml:space="preserve">All members of the class are expected to follow the rules of common courtesy with all online correspondence. Be careful of the tone and content of online communication. Without facial expressions and voice inflections, misunderstandings can </w:t>
      </w:r>
      <w:r w:rsidR="00241589">
        <w:rPr>
          <w:rFonts w:ascii="Bookman Old Style" w:hAnsi="Bookman Old Style"/>
          <w:bCs/>
          <w:lang w:eastAsia="zh-CN"/>
        </w:rPr>
        <w:t>occur,</w:t>
      </w:r>
      <w:r>
        <w:rPr>
          <w:rFonts w:ascii="Bookman Old Style" w:hAnsi="Bookman Old Style"/>
          <w:bCs/>
          <w:lang w:eastAsia="zh-CN"/>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7BD14120" w14:textId="77777777" w:rsidR="005419DF" w:rsidRDefault="00000000" w:rsidP="005419DF">
      <w:pPr>
        <w:rPr>
          <w:rFonts w:ascii="Bookman Old Style" w:hAnsi="Bookman Old Style"/>
          <w:bCs/>
          <w:lang w:eastAsia="zh-CN"/>
        </w:rPr>
      </w:pPr>
      <w:hyperlink r:id="rId11" w:tgtFrame="_blank" w:history="1">
        <w:r w:rsidR="005419DF">
          <w:rPr>
            <w:rStyle w:val="Hyperlink"/>
            <w:rFonts w:ascii="Bookman Old Style" w:hAnsi="Bookman Old Style"/>
            <w:bCs/>
            <w:lang w:eastAsia="zh-CN"/>
          </w:rPr>
          <w:t>The Core Rules of </w:t>
        </w:r>
      </w:hyperlink>
      <w:r w:rsidR="005419DF">
        <w:rPr>
          <w:rFonts w:ascii="Bookman Old Style" w:hAnsi="Bookman Old Style"/>
          <w:bCs/>
          <w:lang w:eastAsia="zh-CN"/>
        </w:rPr>
        <w:t>Netiquette (</w:t>
      </w:r>
      <w:hyperlink r:id="rId12" w:tgtFrame="_blank" w:history="1">
        <w:r w:rsidR="005419DF">
          <w:rPr>
            <w:rStyle w:val="Hyperlink"/>
            <w:rFonts w:ascii="Bookman Old Style" w:hAnsi="Bookman Old Style"/>
            <w:bCs/>
            <w:lang w:eastAsia="zh-CN"/>
          </w:rPr>
          <w:t>http://www.albion.com/netiquette/corerules.html</w:t>
        </w:r>
      </w:hyperlink>
      <w:r w:rsidR="005419DF">
        <w:rPr>
          <w:rFonts w:ascii="Bookman Old Style" w:hAnsi="Bookman Old Style"/>
          <w:bCs/>
          <w:lang w:eastAsia="zh-CN"/>
        </w:rPr>
        <w:t xml:space="preserve">). </w:t>
      </w:r>
    </w:p>
    <w:p w14:paraId="25BC6BC0" w14:textId="77777777" w:rsidR="005419DF" w:rsidRDefault="005419DF" w:rsidP="005419DF">
      <w:pPr>
        <w:rPr>
          <w:rFonts w:ascii="Bookman Old Style" w:hAnsi="Bookman Old Style"/>
          <w:b/>
          <w:bCs/>
          <w:lang w:eastAsia="zh-CN"/>
        </w:rPr>
      </w:pPr>
    </w:p>
    <w:p w14:paraId="487E79CB" w14:textId="77777777" w:rsidR="005419DF" w:rsidRDefault="005419DF" w:rsidP="005419DF">
      <w:pPr>
        <w:rPr>
          <w:rFonts w:ascii="Bookman Old Style" w:hAnsi="Bookman Old Style"/>
          <w:b/>
          <w:bCs/>
          <w:lang w:eastAsia="zh-CN"/>
        </w:rPr>
      </w:pPr>
      <w:r>
        <w:rPr>
          <w:rFonts w:ascii="Bookman Old Style" w:hAnsi="Bookman Old Style"/>
          <w:b/>
          <w:bCs/>
          <w:lang w:eastAsia="zh-CN"/>
        </w:rPr>
        <w:t xml:space="preserve">Social Media Policy </w:t>
      </w:r>
    </w:p>
    <w:p w14:paraId="371340CE" w14:textId="77777777" w:rsidR="005419DF" w:rsidRDefault="005419DF" w:rsidP="005419DF">
      <w:pPr>
        <w:rPr>
          <w:rFonts w:ascii="Bookman Old Style" w:hAnsi="Bookman Old Style"/>
          <w:bCs/>
          <w:lang w:eastAsia="zh-CN"/>
        </w:rPr>
      </w:pPr>
      <w:r>
        <w:rPr>
          <w:rFonts w:ascii="Bookman Old Style" w:hAnsi="Bookman Old Style"/>
          <w:bCs/>
          <w:lang w:eastAsia="zh-CN"/>
        </w:rPr>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78A9F36D"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  </w:t>
      </w:r>
    </w:p>
    <w:p w14:paraId="2AEC9F93" w14:textId="77777777" w:rsidR="005419DF" w:rsidRDefault="005419DF" w:rsidP="005419DF">
      <w:pPr>
        <w:rPr>
          <w:rFonts w:ascii="Bookman Old Style" w:hAnsi="Bookman Old Style"/>
          <w:bCs/>
          <w:lang w:eastAsia="zh-CN"/>
        </w:rPr>
      </w:pPr>
      <w:r>
        <w:rPr>
          <w:rFonts w:ascii="Bookman Old Style" w:hAnsi="Bookman Old Style"/>
          <w:bCs/>
          <w:lang w:eastAsia="zh-CN"/>
        </w:rPr>
        <w:t>The following is adapted from the American Nurses Association (ANA) Principles for Social Networking:</w:t>
      </w:r>
      <w:r>
        <w:rPr>
          <w:rFonts w:ascii="Bookman Old Style" w:hAnsi="Bookman Old Style"/>
          <w:b/>
          <w:bCs/>
          <w:lang w:eastAsia="zh-CN"/>
        </w:rPr>
        <w:t xml:space="preserve"> </w:t>
      </w:r>
    </w:p>
    <w:p w14:paraId="52B2915C" w14:textId="77777777" w:rsidR="005419DF" w:rsidRDefault="005419DF" w:rsidP="005419DF">
      <w:pPr>
        <w:rPr>
          <w:rFonts w:ascii="Bookman Old Style" w:hAnsi="Bookman Old Style"/>
          <w:bCs/>
          <w:lang w:eastAsia="zh-CN"/>
        </w:rPr>
      </w:pPr>
      <w:r>
        <w:rPr>
          <w:rFonts w:ascii="Bookman Old Style" w:hAnsi="Bookman Old Style"/>
          <w:b/>
          <w:bCs/>
          <w:lang w:eastAsia="zh-CN"/>
        </w:rPr>
        <w:lastRenderedPageBreak/>
        <w:t xml:space="preserve">1. </w:t>
      </w:r>
      <w:r>
        <w:rPr>
          <w:rFonts w:ascii="Bookman Old Style" w:hAnsi="Bookman Old Style"/>
          <w:bCs/>
          <w:lang w:eastAsia="zh-CN"/>
        </w:rPr>
        <w:t xml:space="preserve">Nurses must not transmit or place online individually identifiable patient information. </w:t>
      </w:r>
    </w:p>
    <w:p w14:paraId="277F50CA"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2. </w:t>
      </w:r>
      <w:r>
        <w:rPr>
          <w:rFonts w:ascii="Bookman Old Style" w:hAnsi="Bookman Old Style"/>
          <w:bCs/>
          <w:lang w:eastAsia="zh-CN"/>
        </w:rPr>
        <w:t xml:space="preserve">Nurses must observe ethically prescribed professional patient — nurse boundaries. </w:t>
      </w:r>
    </w:p>
    <w:p w14:paraId="5A4B0B1B"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3. </w:t>
      </w:r>
      <w:r>
        <w:rPr>
          <w:rFonts w:ascii="Bookman Old Style" w:hAnsi="Bookman Old Style"/>
          <w:bCs/>
          <w:lang w:eastAsia="zh-CN"/>
        </w:rPr>
        <w:t xml:space="preserve">Nurses should understand that patients, colleagues, institutions, and employers may view postings. </w:t>
      </w:r>
    </w:p>
    <w:p w14:paraId="0BF5EDB8"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4. </w:t>
      </w:r>
      <w:r>
        <w:rPr>
          <w:rFonts w:ascii="Bookman Old Style" w:hAnsi="Bookman Old Style"/>
          <w:bCs/>
          <w:lang w:eastAsia="zh-CN"/>
        </w:rPr>
        <w:t xml:space="preserve">Nurses should take advantage of privacy settings and seek to separate personal and professional information online. </w:t>
      </w:r>
    </w:p>
    <w:p w14:paraId="74AD5653"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5. </w:t>
      </w:r>
      <w:r>
        <w:rPr>
          <w:rFonts w:ascii="Bookman Old Style" w:hAnsi="Bookman Old Style"/>
          <w:bCs/>
          <w:lang w:eastAsia="zh-CN"/>
        </w:rPr>
        <w:t>Nurses should bring content that could harm a patient’s privacy, rights, or welfare to the attention of appropriate authorities.</w:t>
      </w:r>
    </w:p>
    <w:p w14:paraId="38D5ADFB" w14:textId="77777777" w:rsidR="005419DF" w:rsidRDefault="005419DF" w:rsidP="005419DF">
      <w:pPr>
        <w:rPr>
          <w:rFonts w:ascii="Bookman Old Style" w:hAnsi="Bookman Old Style"/>
          <w:bCs/>
          <w:lang w:eastAsia="zh-CN"/>
        </w:rPr>
      </w:pPr>
    </w:p>
    <w:p w14:paraId="78804B86"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For more information: </w:t>
      </w:r>
      <w:hyperlink r:id="rId13" w:history="1">
        <w:r>
          <w:rPr>
            <w:rStyle w:val="Hyperlink"/>
            <w:rFonts w:ascii="Bookman Old Style" w:hAnsi="Bookman Old Style"/>
            <w:bCs/>
            <w:lang w:eastAsia="zh-CN"/>
          </w:rPr>
          <w:t>http://www.nursingworld.org/FunctionalMenuCategories/MediaResources/PressReleases/2011-PR/ANA-NCSBN-Guidelines-Social-Media-Networking-for-Nurses.pdf</w:t>
        </w:r>
      </w:hyperlink>
      <w:r>
        <w:rPr>
          <w:rFonts w:ascii="Bookman Old Style" w:hAnsi="Bookman Old Style"/>
          <w:bCs/>
          <w:lang w:eastAsia="zh-CN"/>
        </w:rPr>
        <w:t xml:space="preserve"> </w:t>
      </w:r>
    </w:p>
    <w:p w14:paraId="6CDE4F9C" w14:textId="77777777" w:rsidR="005419DF" w:rsidRDefault="005419DF" w:rsidP="005419DF">
      <w:pPr>
        <w:pStyle w:val="Heading1"/>
        <w:spacing w:line="240" w:lineRule="auto"/>
        <w:rPr>
          <w:rFonts w:ascii="Bookman Old Style" w:hAnsi="Bookman Old Style"/>
        </w:rPr>
      </w:pPr>
      <w:r>
        <w:rPr>
          <w:rFonts w:ascii="Bookman Old Style" w:hAnsi="Bookman Old Style"/>
        </w:rPr>
        <w:t>Attendance</w:t>
      </w:r>
      <w:r>
        <w:rPr>
          <w:rFonts w:ascii="Bookman Old Style" w:hAnsi="Bookman Old Style"/>
          <w:color w:val="5F2987"/>
        </w:rPr>
        <w:t>*</w:t>
      </w:r>
      <w:r>
        <w:rPr>
          <w:rFonts w:ascii="Bookman Old Style" w:hAnsi="Bookman Old Style"/>
        </w:rPr>
        <w:t xml:space="preserve"> </w:t>
      </w:r>
    </w:p>
    <w:p w14:paraId="27A0FE4C" w14:textId="77777777" w:rsidR="005419DF" w:rsidRDefault="005419DF" w:rsidP="005419DF">
      <w:pPr>
        <w:rPr>
          <w:rFonts w:ascii="Bookman Old Style" w:hAnsi="Bookman Old Style"/>
          <w:b/>
          <w:color w:val="000000"/>
        </w:rPr>
      </w:pPr>
      <w:r>
        <w:rPr>
          <w:rFonts w:ascii="Bookman Old Style" w:eastAsia="Calibri" w:hAnsi="Bookman Old Style" w:cs="Calibri"/>
          <w:color w:val="000000"/>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r>
        <w:rPr>
          <w:rFonts w:ascii="Bookman Old Style" w:eastAsia="Calibri" w:hAnsi="Bookman Old Style" w:cs="Calibri"/>
          <w:b/>
          <w:i/>
          <w:color w:val="000000"/>
        </w:rPr>
        <w:t xml:space="preserve">I am not able to re-teach the material to you in the event that you are absent, but you can ask a classmate to share notes. </w:t>
      </w:r>
      <w:r>
        <w:rPr>
          <w:rFonts w:ascii="Bookman Old Style" w:eastAsia="Calibri" w:hAnsi="Bookman Old Style" w:cs="Calibri"/>
          <w:b/>
          <w:color w:val="000000"/>
        </w:rPr>
        <w:t xml:space="preserve">Any </w:t>
      </w:r>
      <w:r>
        <w:rPr>
          <w:rFonts w:ascii="Bookman Old Style" w:hAnsi="Bookman Old Style"/>
          <w:b/>
        </w:rPr>
        <w:t xml:space="preserve">exceptions to the attendance policy should be confirmed </w:t>
      </w:r>
      <w:r>
        <w:rPr>
          <w:rFonts w:ascii="Bookman Old Style" w:hAnsi="Bookman Old Style"/>
          <w:b/>
          <w:u w:val="single"/>
        </w:rPr>
        <w:t>in writing</w:t>
      </w:r>
      <w:r>
        <w:rPr>
          <w:rFonts w:ascii="Bookman Old Style" w:hAnsi="Bookman Old Style"/>
          <w:b/>
        </w:rPr>
        <w:t>.</w:t>
      </w:r>
    </w:p>
    <w:p w14:paraId="66486F5E" w14:textId="77777777" w:rsidR="005419DF" w:rsidRDefault="005419DF" w:rsidP="005419DF">
      <w:pPr>
        <w:rPr>
          <w:rFonts w:ascii="Bookman Old Style" w:hAnsi="Bookman Old Style"/>
        </w:rPr>
      </w:pPr>
    </w:p>
    <w:p w14:paraId="03E5471D" w14:textId="77777777" w:rsidR="005419DF" w:rsidRDefault="005419DF" w:rsidP="005419DF">
      <w:pPr>
        <w:rPr>
          <w:rFonts w:ascii="Bookman Old Style" w:hAnsi="Bookman Old Style"/>
        </w:rPr>
      </w:pPr>
      <w:r>
        <w:rPr>
          <w:rFonts w:ascii="Bookman Old Style" w:hAnsi="Bookman Old Style"/>
        </w:rPr>
        <w:t xml:space="preserve">Please refer to the “Absences due to Military Service” and “Religious Beliefs Accommodation” below. Additionally, below are attendance guidelines as outlined by the </w:t>
      </w:r>
      <w:hyperlink r:id="rId14" w:history="1">
        <w:r>
          <w:rPr>
            <w:rStyle w:val="Hyperlink"/>
            <w:rFonts w:ascii="Bookman Old Style" w:hAnsi="Bookman Old Style"/>
            <w:color w:val="1155CC"/>
          </w:rPr>
          <w:t>UWSP registrar</w:t>
        </w:r>
      </w:hyperlink>
      <w:r>
        <w:rPr>
          <w:rFonts w:ascii="Bookman Old Style" w:hAnsi="Bookman Old Style"/>
        </w:rPr>
        <w:t>:</w:t>
      </w:r>
    </w:p>
    <w:p w14:paraId="0DE5CE79" w14:textId="77777777" w:rsidR="005419DF" w:rsidRDefault="005419DF" w:rsidP="005419DF">
      <w:pPr>
        <w:rPr>
          <w:rFonts w:ascii="Bookman Old Style" w:hAnsi="Bookman Old Style"/>
        </w:rPr>
      </w:pPr>
    </w:p>
    <w:p w14:paraId="442EAE81" w14:textId="77777777" w:rsidR="005419DF" w:rsidRDefault="005419DF" w:rsidP="005419DF">
      <w:pPr>
        <w:rPr>
          <w:rFonts w:ascii="Bookman Old Style" w:hAnsi="Bookman Old Style"/>
        </w:rPr>
      </w:pPr>
      <w:r>
        <w:rPr>
          <w:rFonts w:ascii="Bookman Old Style" w:hAnsi="Bookman Old Style"/>
        </w:rPr>
        <w:t>Attend all your classes regularly. We do not have a system of permitted "cuts."</w:t>
      </w:r>
      <w:r>
        <w:rPr>
          <w:rFonts w:ascii="Bookman Old Style" w:hAnsi="Bookman Old Style"/>
        </w:rPr>
        <w:br/>
      </w:r>
      <w:r>
        <w:rPr>
          <w:rFonts w:ascii="Bookman Old Style" w:hAnsi="Bookman Old Style"/>
        </w:rPr>
        <w:br/>
        <w:t xml:space="preserve">If you decide to drop a class, please do so using </w:t>
      </w:r>
      <w:proofErr w:type="spellStart"/>
      <w:r>
        <w:rPr>
          <w:rFonts w:ascii="Bookman Old Style" w:hAnsi="Bookman Old Style"/>
        </w:rPr>
        <w:t>myPoint</w:t>
      </w:r>
      <w:proofErr w:type="spellEnd"/>
      <w:r>
        <w:rPr>
          <w:rFonts w:ascii="Bookman Old Style" w:hAnsi="Bookman Old Style"/>
        </w:rPr>
        <w:t xml:space="preserve"> or visit the Enrollment Services Center. Changes in class enrollment will impact your tuition and fee balance, financial aid award and veterans educational benefit.</w:t>
      </w:r>
    </w:p>
    <w:p w14:paraId="4DE96DB1" w14:textId="77777777" w:rsidR="005419DF" w:rsidRDefault="005419DF" w:rsidP="005419DF">
      <w:pPr>
        <w:rPr>
          <w:rFonts w:ascii="Bookman Old Style" w:hAnsi="Bookman Old Style"/>
        </w:rPr>
      </w:pPr>
    </w:p>
    <w:p w14:paraId="0F220F8C" w14:textId="19FFCD63" w:rsidR="005419DF" w:rsidRDefault="005419DF" w:rsidP="005419DF">
      <w:pPr>
        <w:rPr>
          <w:rFonts w:ascii="Bookman Old Style" w:hAnsi="Bookman Old Style"/>
        </w:rPr>
      </w:pPr>
      <w:r>
        <w:rPr>
          <w:rFonts w:ascii="Bookman Old Style" w:hAnsi="Bookman Old Style"/>
        </w:rPr>
        <w:t xml:space="preserve">During the first eight days of the regular </w:t>
      </w:r>
      <w:r w:rsidR="00241589">
        <w:rPr>
          <w:rFonts w:ascii="Bookman Old Style" w:hAnsi="Bookman Old Style"/>
        </w:rPr>
        <w:t>16-week</w:t>
      </w:r>
      <w:r>
        <w:rPr>
          <w:rFonts w:ascii="Bookman Old Style" w:hAnsi="Bookman Old Style"/>
        </w:rPr>
        <w:t xml:space="preserve"> term, your instructor will take attendance. If you are not in attendance, you may be dropped from the class. You are responsible for dropping any of your enrolled classes.</w:t>
      </w:r>
    </w:p>
    <w:p w14:paraId="28BB2515" w14:textId="77777777" w:rsidR="005419DF" w:rsidRDefault="005419DF" w:rsidP="005419DF">
      <w:pPr>
        <w:numPr>
          <w:ilvl w:val="0"/>
          <w:numId w:val="19"/>
        </w:numPr>
        <w:shd w:val="clear" w:color="auto" w:fill="FFFFFF"/>
        <w:spacing w:before="280" w:after="240"/>
        <w:rPr>
          <w:rFonts w:ascii="Bookman Old Style" w:hAnsi="Bookman Old Style"/>
          <w:color w:val="100515"/>
        </w:rPr>
      </w:pPr>
      <w:r>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15" w:history="1">
        <w:r>
          <w:rPr>
            <w:rStyle w:val="Hyperlink"/>
            <w:rFonts w:ascii="Bookman Old Style" w:hAnsi="Bookman Old Style"/>
            <w:color w:val="6F00C5"/>
          </w:rPr>
          <w:t>DOS@uwsp.edu</w:t>
        </w:r>
      </w:hyperlink>
      <w:r>
        <w:rPr>
          <w:rFonts w:ascii="Bookman Old Style" w:hAnsi="Bookman Old Style"/>
          <w:color w:val="100515"/>
        </w:rPr>
        <w:t> .</w:t>
      </w:r>
    </w:p>
    <w:p w14:paraId="2E8A6B73" w14:textId="77777777" w:rsidR="005419DF" w:rsidRDefault="005419DF" w:rsidP="005419DF">
      <w:pPr>
        <w:numPr>
          <w:ilvl w:val="0"/>
          <w:numId w:val="19"/>
        </w:numPr>
        <w:shd w:val="clear" w:color="auto" w:fill="FFFFFF"/>
        <w:spacing w:before="40" w:after="240"/>
        <w:rPr>
          <w:rFonts w:ascii="Bookman Old Style" w:hAnsi="Bookman Old Style"/>
          <w:color w:val="100515"/>
        </w:rPr>
      </w:pPr>
      <w:r>
        <w:rPr>
          <w:rFonts w:ascii="Bookman Old Style" w:hAnsi="Bookman Old Style"/>
          <w:color w:val="100515"/>
        </w:rPr>
        <w:lastRenderedPageBreak/>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0F48E5EF" w14:textId="77777777" w:rsidR="005419DF" w:rsidRDefault="005419DF" w:rsidP="005419DF">
      <w:pPr>
        <w:numPr>
          <w:ilvl w:val="0"/>
          <w:numId w:val="19"/>
        </w:numPr>
        <w:shd w:val="clear" w:color="auto" w:fill="FFFFFF"/>
        <w:spacing w:before="40" w:after="240"/>
        <w:rPr>
          <w:rFonts w:ascii="Bookman Old Style" w:hAnsi="Bookman Old Style"/>
          <w:color w:val="100515"/>
        </w:rPr>
      </w:pPr>
      <w:r>
        <w:rPr>
          <w:rFonts w:ascii="Bookman Old Style" w:hAnsi="Bookman Old Style"/>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AA9BC6A" w14:textId="77777777" w:rsidR="005419DF" w:rsidRDefault="005419DF" w:rsidP="005419DF">
      <w:pPr>
        <w:numPr>
          <w:ilvl w:val="0"/>
          <w:numId w:val="19"/>
        </w:numPr>
        <w:shd w:val="clear" w:color="auto" w:fill="FFFFFF"/>
        <w:spacing w:before="40" w:after="240"/>
        <w:rPr>
          <w:rFonts w:ascii="Bookman Old Style" w:hAnsi="Bookman Old Style"/>
          <w:color w:val="100515"/>
        </w:rPr>
      </w:pPr>
      <w:r>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5CAE305B" w14:textId="77777777" w:rsidR="005419DF" w:rsidRDefault="005419DF" w:rsidP="005419DF">
      <w:pPr>
        <w:numPr>
          <w:ilvl w:val="0"/>
          <w:numId w:val="19"/>
        </w:numPr>
        <w:shd w:val="clear" w:color="auto" w:fill="FFFFFF"/>
        <w:spacing w:before="40" w:after="100"/>
        <w:rPr>
          <w:rFonts w:ascii="Bookman Old Style" w:hAnsi="Bookman Old Style"/>
          <w:color w:val="100515"/>
        </w:rPr>
      </w:pPr>
      <w:r>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1820B05" w14:textId="77777777" w:rsidR="005419DF" w:rsidRDefault="005419DF" w:rsidP="005419DF">
      <w:pPr>
        <w:pStyle w:val="Heading1"/>
        <w:shd w:val="clear" w:color="auto" w:fill="FFFFFF"/>
        <w:spacing w:before="180" w:after="120" w:line="240" w:lineRule="auto"/>
        <w:rPr>
          <w:rFonts w:ascii="Bookman Old Style" w:hAnsi="Bookman Old Style"/>
        </w:rPr>
      </w:pPr>
      <w:r>
        <w:rPr>
          <w:rFonts w:ascii="Bookman Old Style" w:hAnsi="Bookman Old Style"/>
        </w:rPr>
        <w:t>Absences due to Military Service</w:t>
      </w:r>
    </w:p>
    <w:p w14:paraId="14ED913E" w14:textId="77777777" w:rsidR="005419DF" w:rsidRDefault="005419DF" w:rsidP="005419DF">
      <w:pPr>
        <w:shd w:val="clear" w:color="auto" w:fill="FFFFFF"/>
        <w:spacing w:after="150"/>
        <w:rPr>
          <w:rFonts w:ascii="Bookman Old Style" w:hAnsi="Bookman Old Style"/>
          <w:color w:val="100515"/>
        </w:rPr>
      </w:pPr>
      <w:r>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16" w:history="1">
        <w:r>
          <w:rPr>
            <w:rStyle w:val="Hyperlink"/>
            <w:rFonts w:ascii="Bookman Old Style" w:eastAsia="Calibri" w:hAnsi="Bookman Old Style" w:cs="Calibri"/>
            <w:color w:val="0563C1"/>
          </w:rPr>
          <w:t>not to exceed two (2)</w:t>
        </w:r>
      </w:hyperlink>
      <w:r>
        <w:rPr>
          <w:rFonts w:ascii="Bookman Old Style" w:eastAsia="Calibri" w:hAnsi="Bookman Old Style" w:cs="Calibri"/>
          <w:color w:val="100515"/>
        </w:rPr>
        <w:t xml:space="preserve"> </w:t>
      </w:r>
      <w:hyperlink r:id="rId17" w:history="1">
        <w:r>
          <w:rPr>
            <w:rStyle w:val="Hyperlink"/>
            <w:rFonts w:ascii="Bookman Old Style" w:eastAsia="Calibri" w:hAnsi="Bookman Old Style" w:cs="Calibri"/>
            <w:color w:val="0563C1"/>
          </w:rPr>
          <w:t>weeks</w:t>
        </w:r>
      </w:hyperlink>
      <w:r>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8" w:history="1">
        <w:r>
          <w:rPr>
            <w:rStyle w:val="Hyperlink"/>
            <w:rFonts w:ascii="Bookman Old Style" w:eastAsia="Calibri" w:hAnsi="Bookman Old Style" w:cs="Calibri"/>
            <w:color w:val="6F00C5"/>
          </w:rPr>
          <w:t>Military Call-Up Instructions for Students</w:t>
        </w:r>
      </w:hyperlink>
      <w:r>
        <w:rPr>
          <w:rFonts w:ascii="Bookman Old Style" w:eastAsia="Calibri" w:hAnsi="Bookman Old Style" w:cs="Calibri"/>
          <w:color w:val="100515"/>
        </w:rPr>
        <w:t>.</w:t>
      </w:r>
    </w:p>
    <w:p w14:paraId="78E9A381" w14:textId="77777777" w:rsidR="005419DF" w:rsidRDefault="005419DF" w:rsidP="005419DF">
      <w:pPr>
        <w:pStyle w:val="Heading1"/>
        <w:spacing w:line="240" w:lineRule="auto"/>
        <w:rPr>
          <w:rFonts w:ascii="Bookman Old Style" w:hAnsi="Bookman Old Style"/>
        </w:rPr>
      </w:pPr>
      <w:bookmarkStart w:id="0" w:name="_2nafmy6vk07w"/>
      <w:bookmarkEnd w:id="0"/>
      <w:r>
        <w:rPr>
          <w:rFonts w:ascii="Bookman Old Style" w:hAnsi="Bookman Old Style"/>
        </w:rPr>
        <w:t>Religious Beliefs Accommodation</w:t>
      </w:r>
    </w:p>
    <w:p w14:paraId="36327D9B" w14:textId="77777777" w:rsidR="005419DF" w:rsidRDefault="005419DF" w:rsidP="005419DF">
      <w:pPr>
        <w:rPr>
          <w:rFonts w:ascii="Bookman Old Style" w:hAnsi="Bookman Old Style"/>
        </w:rPr>
      </w:pPr>
      <w:r>
        <w:rPr>
          <w:rFonts w:ascii="Bookman Old Style" w:hAnsi="Bookman Old Style"/>
          <w:color w:val="100515"/>
        </w:rPr>
        <w:t>It is UW System policy (</w:t>
      </w:r>
      <w:hyperlink r:id="rId19" w:history="1">
        <w:r>
          <w:rPr>
            <w:rStyle w:val="Hyperlink"/>
            <w:rFonts w:ascii="Bookman Old Style" w:hAnsi="Bookman Old Style"/>
            <w:color w:val="0563C1"/>
          </w:rPr>
          <w:t>UWS 22</w:t>
        </w:r>
      </w:hyperlink>
      <w:r>
        <w:rPr>
          <w:rFonts w:ascii="Bookman Old Style" w:hAnsi="Bookman Old Style"/>
          <w:color w:val="100515"/>
        </w:rPr>
        <w:t>) to reasonably accommodate your sincerely held religious beliefs with respect to all examinations and other academic requirements.</w:t>
      </w:r>
    </w:p>
    <w:p w14:paraId="4A0972F5" w14:textId="77777777" w:rsidR="005419DF" w:rsidRDefault="005419DF" w:rsidP="005419DF">
      <w:pPr>
        <w:shd w:val="clear" w:color="auto" w:fill="FFFFFF"/>
        <w:spacing w:after="30"/>
        <w:rPr>
          <w:rFonts w:ascii="Bookman Old Style" w:hAnsi="Bookman Old Style"/>
          <w:color w:val="100515"/>
        </w:rPr>
      </w:pPr>
      <w:r>
        <w:rPr>
          <w:rFonts w:ascii="Bookman Old Style" w:hAnsi="Bookman Old Style"/>
          <w:color w:val="100515"/>
        </w:rPr>
        <w:t>You will be permitted to make up an exam or other academic requirement at another time or by an alternative method, without any prejudicial effect, if:</w:t>
      </w:r>
    </w:p>
    <w:p w14:paraId="678BFE10"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There is a scheduling conflict between your sincerely held religious beliefs and taking the exam or meeting the academic requirements; and</w:t>
      </w:r>
    </w:p>
    <w:p w14:paraId="009E9C95"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5FE9C1C4"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Your instructor will accept the sincerity of your religious beliefs at face value and keep your request confidential.</w:t>
      </w:r>
    </w:p>
    <w:p w14:paraId="25BB5A8A"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lastRenderedPageBreak/>
        <w:t>Your instructor will schedule a make-up exam or requirement before or after the regularly scheduled exam or requirement.</w:t>
      </w:r>
    </w:p>
    <w:p w14:paraId="1F8D3960"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 may file any complaints regarding compliance with this policy in the Equity and Affirmative Action Office.</w:t>
      </w:r>
    </w:p>
    <w:p w14:paraId="07DED82B" w14:textId="77777777" w:rsidR="005419DF" w:rsidRDefault="005419DF" w:rsidP="005419DF">
      <w:pPr>
        <w:pStyle w:val="Heading1"/>
        <w:spacing w:line="240" w:lineRule="auto"/>
        <w:rPr>
          <w:rFonts w:ascii="Bookman Old Style" w:hAnsi="Bookman Old Style"/>
          <w:color w:val="5F2987"/>
        </w:rPr>
      </w:pPr>
      <w:bookmarkStart w:id="1" w:name="_44sinio"/>
      <w:bookmarkEnd w:id="1"/>
      <w:r>
        <w:rPr>
          <w:rFonts w:ascii="Bookman Old Style" w:hAnsi="Bookman Old Style"/>
        </w:rPr>
        <w:t>Equal Access for Students with Disabilities</w:t>
      </w:r>
      <w:r>
        <w:rPr>
          <w:rFonts w:ascii="Bookman Old Style" w:hAnsi="Bookman Old Style"/>
          <w:color w:val="5F2987"/>
        </w:rPr>
        <w:t>*</w:t>
      </w:r>
    </w:p>
    <w:p w14:paraId="0B179742" w14:textId="77777777" w:rsidR="005419DF" w:rsidRDefault="005419DF" w:rsidP="005419DF">
      <w:pPr>
        <w:rPr>
          <w:rFonts w:ascii="Bookman Old Style" w:hAnsi="Bookman Old Style"/>
        </w:rPr>
      </w:pPr>
      <w:bookmarkStart w:id="2" w:name="_2jxsxqh"/>
      <w:bookmarkEnd w:id="2"/>
      <w:r>
        <w:rPr>
          <w:rFonts w:ascii="Bookman Old Style" w:hAnsi="Bookman Old Styl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72F6677F" w14:textId="77777777" w:rsidR="00AF616A" w:rsidRDefault="00AF616A" w:rsidP="00AF616A">
      <w:pPr>
        <w:rPr>
          <w:rFonts w:ascii="Bookman Old Style" w:hAnsi="Bookman Old Style"/>
          <w:i/>
        </w:rPr>
      </w:pPr>
    </w:p>
    <w:p w14:paraId="7EE5D3CB" w14:textId="24C349E4" w:rsidR="005419DF" w:rsidRDefault="005419DF" w:rsidP="00AF616A">
      <w:pPr>
        <w:rPr>
          <w:rFonts w:ascii="Bookman Old Style" w:hAnsi="Bookman Old Style"/>
        </w:rPr>
      </w:pPr>
      <w:r>
        <w:rPr>
          <w:rFonts w:ascii="Bookman Old Style" w:hAnsi="Bookman Old Style"/>
          <w:i/>
        </w:rPr>
        <w:t xml:space="preserve">If modifications are required due to a disability, please inform the instructor </w:t>
      </w:r>
      <w:r w:rsidR="00AF616A">
        <w:rPr>
          <w:rFonts w:ascii="Bookman Old Style" w:hAnsi="Bookman Old Style"/>
          <w:i/>
        </w:rPr>
        <w:t xml:space="preserve">to connect with Disability Center on campus. </w:t>
      </w:r>
    </w:p>
    <w:p w14:paraId="51FB028A" w14:textId="77777777" w:rsidR="005419DF" w:rsidRDefault="005419DF" w:rsidP="005419DF">
      <w:pPr>
        <w:rPr>
          <w:rFonts w:ascii="Bookman Old Style" w:hAnsi="Bookman Old Style"/>
        </w:rPr>
      </w:pPr>
    </w:p>
    <w:p w14:paraId="259D4246" w14:textId="77777777" w:rsidR="005419DF" w:rsidRDefault="005419DF" w:rsidP="005419DF">
      <w:pPr>
        <w:rPr>
          <w:rFonts w:ascii="Bookman Old Style" w:hAnsi="Bookman Old Style"/>
          <w:b/>
        </w:rPr>
      </w:pPr>
      <w:r>
        <w:rPr>
          <w:rFonts w:ascii="Bookman Old Style" w:hAnsi="Bookman Old Style"/>
          <w:b/>
        </w:rPr>
        <w:t>UWSP Service Desk</w:t>
      </w:r>
    </w:p>
    <w:p w14:paraId="1D043E9D" w14:textId="77777777" w:rsidR="005419DF" w:rsidRDefault="005419DF" w:rsidP="005419DF">
      <w:pPr>
        <w:rPr>
          <w:rFonts w:ascii="Bookman Old Style" w:hAnsi="Bookman Old Style"/>
        </w:rPr>
      </w:pPr>
      <w:r>
        <w:rPr>
          <w:rFonts w:ascii="Bookman Old Style" w:hAnsi="Bookman Old Style"/>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0" w:history="1">
        <w:r>
          <w:rPr>
            <w:rStyle w:val="Hyperlink"/>
            <w:rFonts w:ascii="Bookman Old Style" w:hAnsi="Bookman Old Style"/>
            <w:color w:val="0563C1"/>
          </w:rPr>
          <w:t>link for more information.</w:t>
        </w:r>
      </w:hyperlink>
    </w:p>
    <w:p w14:paraId="46E2D5F1" w14:textId="77777777" w:rsidR="005419DF" w:rsidRDefault="005419DF" w:rsidP="005419DF">
      <w:pPr>
        <w:rPr>
          <w:rFonts w:ascii="Bookman Old Style" w:hAnsi="Bookman Old Style"/>
          <w:b/>
        </w:rPr>
      </w:pPr>
    </w:p>
    <w:p w14:paraId="07364E47" w14:textId="77777777" w:rsidR="005419DF" w:rsidRDefault="005419DF" w:rsidP="005419DF">
      <w:pPr>
        <w:rPr>
          <w:rFonts w:ascii="Bookman Old Style" w:hAnsi="Bookman Old Style"/>
          <w:b/>
        </w:rPr>
      </w:pPr>
      <w:r>
        <w:rPr>
          <w:rFonts w:ascii="Bookman Old Style" w:hAnsi="Bookman Old Style"/>
          <w:b/>
        </w:rPr>
        <w:t>Care Team</w:t>
      </w:r>
    </w:p>
    <w:p w14:paraId="5E3BF026" w14:textId="37FFAD7C" w:rsidR="005419DF" w:rsidRDefault="005419DF" w:rsidP="005419DF">
      <w:pPr>
        <w:rPr>
          <w:rFonts w:ascii="Bookman Old Style" w:hAnsi="Bookman Old Style"/>
        </w:rPr>
      </w:pPr>
      <w:r>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1" w:history="1">
        <w:r>
          <w:rPr>
            <w:rStyle w:val="Hyperlink"/>
            <w:rFonts w:ascii="Bookman Old Style" w:hAnsi="Bookman Old Style"/>
            <w:color w:val="1155CC"/>
          </w:rPr>
          <w:t>here</w:t>
        </w:r>
      </w:hyperlink>
      <w:r>
        <w:rPr>
          <w:rFonts w:ascii="Bookman Old Style" w:hAnsi="Bookman Old Style"/>
        </w:rPr>
        <w:t>.</w:t>
      </w:r>
    </w:p>
    <w:p w14:paraId="7ACC50CF" w14:textId="77777777" w:rsidR="005419DF" w:rsidRDefault="005419DF" w:rsidP="005419DF">
      <w:pPr>
        <w:pStyle w:val="Default"/>
        <w:pageBreakBefore/>
        <w:rPr>
          <w:rFonts w:ascii="Bookman Old Style" w:hAnsi="Bookman Old Style"/>
          <w:color w:val="auto"/>
        </w:rPr>
      </w:pPr>
    </w:p>
    <w:p w14:paraId="0B4515A1" w14:textId="77777777" w:rsidR="005419DF" w:rsidRDefault="005419DF" w:rsidP="005419DF">
      <w:pPr>
        <w:pStyle w:val="Default"/>
        <w:rPr>
          <w:rFonts w:ascii="Bookman Old Style" w:hAnsi="Bookman Old Style"/>
          <w:color w:val="auto"/>
          <w:sz w:val="22"/>
          <w:szCs w:val="22"/>
        </w:rPr>
      </w:pPr>
    </w:p>
    <w:p w14:paraId="745B81D9" w14:textId="77777777" w:rsidR="005419DF" w:rsidRDefault="005419DF" w:rsidP="005419DF">
      <w:pPr>
        <w:pStyle w:val="Default"/>
        <w:rPr>
          <w:rFonts w:ascii="Bookman Old Style" w:hAnsi="Bookman Old Style"/>
          <w:b/>
          <w:sz w:val="22"/>
          <w:szCs w:val="22"/>
        </w:rPr>
      </w:pPr>
    </w:p>
    <w:p w14:paraId="2A4D4C22" w14:textId="75916328" w:rsidR="007F58A6" w:rsidRPr="002B527A" w:rsidRDefault="007F58A6" w:rsidP="005419DF">
      <w:pPr>
        <w:widowControl w:val="0"/>
        <w:autoSpaceDE w:val="0"/>
        <w:autoSpaceDN w:val="0"/>
        <w:adjustRightInd w:val="0"/>
        <w:rPr>
          <w:rFonts w:ascii="Times New Roman" w:hAnsi="Times New Roman" w:cs="Times New Roman"/>
        </w:rPr>
      </w:pPr>
    </w:p>
    <w:sectPr w:rsidR="007F58A6" w:rsidRPr="002B527A" w:rsidSect="00B37E37">
      <w:footerReference w:type="even"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6232" w14:textId="77777777" w:rsidR="001D0EED" w:rsidRDefault="001D0EED" w:rsidP="00B82773">
      <w:r>
        <w:separator/>
      </w:r>
    </w:p>
  </w:endnote>
  <w:endnote w:type="continuationSeparator" w:id="0">
    <w:p w14:paraId="0196BBA5" w14:textId="77777777" w:rsidR="001D0EED" w:rsidRDefault="001D0EED" w:rsidP="00B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4D9A" w14:textId="77777777" w:rsidR="00486B7A" w:rsidRDefault="00486B7A" w:rsidP="00C0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EE8D0" w14:textId="77777777" w:rsidR="00486B7A" w:rsidRDefault="00486B7A" w:rsidP="00B82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50BE" w14:textId="116F630D" w:rsidR="00486B7A" w:rsidRDefault="00486B7A" w:rsidP="00C0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B17">
      <w:rPr>
        <w:rStyle w:val="PageNumber"/>
        <w:noProof/>
      </w:rPr>
      <w:t>10</w:t>
    </w:r>
    <w:r>
      <w:rPr>
        <w:rStyle w:val="PageNumber"/>
      </w:rPr>
      <w:fldChar w:fldCharType="end"/>
    </w:r>
  </w:p>
  <w:p w14:paraId="062C5200" w14:textId="77777777" w:rsidR="00486B7A" w:rsidRDefault="00486B7A" w:rsidP="00B82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39D2" w14:textId="77777777" w:rsidR="001D0EED" w:rsidRDefault="001D0EED" w:rsidP="00B82773">
      <w:r>
        <w:separator/>
      </w:r>
    </w:p>
  </w:footnote>
  <w:footnote w:type="continuationSeparator" w:id="0">
    <w:p w14:paraId="3522A8E6" w14:textId="77777777" w:rsidR="001D0EED" w:rsidRDefault="001D0EED" w:rsidP="00B8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28"/>
    <w:multiLevelType w:val="multilevel"/>
    <w:tmpl w:val="027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6082"/>
    <w:multiLevelType w:val="multilevel"/>
    <w:tmpl w:val="2B828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72369E"/>
    <w:multiLevelType w:val="multilevel"/>
    <w:tmpl w:val="EEC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81CD9"/>
    <w:multiLevelType w:val="hybridMultilevel"/>
    <w:tmpl w:val="CFA8D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EC5DF2"/>
    <w:multiLevelType w:val="multilevel"/>
    <w:tmpl w:val="A76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3098A"/>
    <w:multiLevelType w:val="multilevel"/>
    <w:tmpl w:val="577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A17BC"/>
    <w:multiLevelType w:val="hybridMultilevel"/>
    <w:tmpl w:val="D214C8E6"/>
    <w:lvl w:ilvl="0" w:tplc="1B722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E131E6"/>
    <w:multiLevelType w:val="hybridMultilevel"/>
    <w:tmpl w:val="8BAA72E8"/>
    <w:lvl w:ilvl="0" w:tplc="4B36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B11B3"/>
    <w:multiLevelType w:val="hybridMultilevel"/>
    <w:tmpl w:val="A07EB34A"/>
    <w:lvl w:ilvl="0" w:tplc="F1329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601214"/>
    <w:multiLevelType w:val="multilevel"/>
    <w:tmpl w:val="8364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10A1"/>
    <w:multiLevelType w:val="multilevel"/>
    <w:tmpl w:val="4FA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24039"/>
    <w:multiLevelType w:val="hybridMultilevel"/>
    <w:tmpl w:val="F38A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7B4DCC"/>
    <w:multiLevelType w:val="multilevel"/>
    <w:tmpl w:val="87F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155BA"/>
    <w:multiLevelType w:val="multilevel"/>
    <w:tmpl w:val="03F8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713110">
    <w:abstractNumId w:val="12"/>
  </w:num>
  <w:num w:numId="2" w16cid:durableId="2037926047">
    <w:abstractNumId w:val="8"/>
  </w:num>
  <w:num w:numId="3" w16cid:durableId="1169831870">
    <w:abstractNumId w:val="7"/>
  </w:num>
  <w:num w:numId="4" w16cid:durableId="391737778">
    <w:abstractNumId w:val="9"/>
  </w:num>
  <w:num w:numId="5" w16cid:durableId="843740167">
    <w:abstractNumId w:val="0"/>
  </w:num>
  <w:num w:numId="6" w16cid:durableId="499663315">
    <w:abstractNumId w:val="17"/>
  </w:num>
  <w:num w:numId="7" w16cid:durableId="2017220270">
    <w:abstractNumId w:val="11"/>
  </w:num>
  <w:num w:numId="8" w16cid:durableId="1573127111">
    <w:abstractNumId w:val="5"/>
  </w:num>
  <w:num w:numId="9" w16cid:durableId="2004821408">
    <w:abstractNumId w:val="6"/>
  </w:num>
  <w:num w:numId="10" w16cid:durableId="1250626359">
    <w:abstractNumId w:val="10"/>
  </w:num>
  <w:num w:numId="11" w16cid:durableId="1419597218">
    <w:abstractNumId w:val="16"/>
  </w:num>
  <w:num w:numId="12" w16cid:durableId="1801916175">
    <w:abstractNumId w:val="1"/>
  </w:num>
  <w:num w:numId="13" w16cid:durableId="1793941124">
    <w:abstractNumId w:val="3"/>
  </w:num>
  <w:num w:numId="14" w16cid:durableId="861553797">
    <w:abstractNumId w:val="2"/>
  </w:num>
  <w:num w:numId="15" w16cid:durableId="384566469">
    <w:abstractNumId w:val="14"/>
  </w:num>
  <w:num w:numId="16" w16cid:durableId="298610271">
    <w:abstractNumId w:val="13"/>
  </w:num>
  <w:num w:numId="17" w16cid:durableId="1297447771">
    <w:abstractNumId w:val="4"/>
  </w:num>
  <w:num w:numId="18" w16cid:durableId="1164082687">
    <w:abstractNumId w:val="13"/>
  </w:num>
  <w:num w:numId="19" w16cid:durableId="835804294">
    <w:abstractNumId w:val="2"/>
  </w:num>
  <w:num w:numId="20" w16cid:durableId="893586990">
    <w:abstractNumId w:val="14"/>
  </w:num>
  <w:num w:numId="21" w16cid:durableId="4267790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A4"/>
    <w:rsid w:val="0000340A"/>
    <w:rsid w:val="000226BD"/>
    <w:rsid w:val="00025E4C"/>
    <w:rsid w:val="00096995"/>
    <w:rsid w:val="000E6D7C"/>
    <w:rsid w:val="000F317A"/>
    <w:rsid w:val="00105B3F"/>
    <w:rsid w:val="00111A7D"/>
    <w:rsid w:val="001476AD"/>
    <w:rsid w:val="00183633"/>
    <w:rsid w:val="00187EBA"/>
    <w:rsid w:val="001D0EED"/>
    <w:rsid w:val="002004F5"/>
    <w:rsid w:val="00203786"/>
    <w:rsid w:val="00211CC9"/>
    <w:rsid w:val="00241589"/>
    <w:rsid w:val="002B527A"/>
    <w:rsid w:val="002F2702"/>
    <w:rsid w:val="00347E63"/>
    <w:rsid w:val="0037338B"/>
    <w:rsid w:val="003B5D7A"/>
    <w:rsid w:val="00414336"/>
    <w:rsid w:val="004308D9"/>
    <w:rsid w:val="0046588C"/>
    <w:rsid w:val="00486B7A"/>
    <w:rsid w:val="004D7340"/>
    <w:rsid w:val="004E715E"/>
    <w:rsid w:val="00526AE1"/>
    <w:rsid w:val="005419DF"/>
    <w:rsid w:val="005A4E02"/>
    <w:rsid w:val="005B0469"/>
    <w:rsid w:val="005C4B17"/>
    <w:rsid w:val="005E5927"/>
    <w:rsid w:val="006801BF"/>
    <w:rsid w:val="006871BF"/>
    <w:rsid w:val="006D4BC2"/>
    <w:rsid w:val="007309F2"/>
    <w:rsid w:val="00742B35"/>
    <w:rsid w:val="00757FA2"/>
    <w:rsid w:val="00782501"/>
    <w:rsid w:val="007A6832"/>
    <w:rsid w:val="007E1E7A"/>
    <w:rsid w:val="007F58A6"/>
    <w:rsid w:val="0080655A"/>
    <w:rsid w:val="00884D59"/>
    <w:rsid w:val="008A2FD8"/>
    <w:rsid w:val="009064BB"/>
    <w:rsid w:val="00947E06"/>
    <w:rsid w:val="0098500A"/>
    <w:rsid w:val="009A2C0E"/>
    <w:rsid w:val="009A6CE7"/>
    <w:rsid w:val="009B4D3C"/>
    <w:rsid w:val="009D2DBF"/>
    <w:rsid w:val="00A143D1"/>
    <w:rsid w:val="00A53F3A"/>
    <w:rsid w:val="00A615CC"/>
    <w:rsid w:val="00A70B1E"/>
    <w:rsid w:val="00AE77E1"/>
    <w:rsid w:val="00AF616A"/>
    <w:rsid w:val="00B37E37"/>
    <w:rsid w:val="00B474E2"/>
    <w:rsid w:val="00B70682"/>
    <w:rsid w:val="00B82773"/>
    <w:rsid w:val="00B9529F"/>
    <w:rsid w:val="00BE0318"/>
    <w:rsid w:val="00C03E7D"/>
    <w:rsid w:val="00C25797"/>
    <w:rsid w:val="00C6420F"/>
    <w:rsid w:val="00C6679D"/>
    <w:rsid w:val="00C765B3"/>
    <w:rsid w:val="00C81CA4"/>
    <w:rsid w:val="00CA5994"/>
    <w:rsid w:val="00CB455B"/>
    <w:rsid w:val="00D25DDC"/>
    <w:rsid w:val="00D43468"/>
    <w:rsid w:val="00D83A08"/>
    <w:rsid w:val="00D859FF"/>
    <w:rsid w:val="00DC2C99"/>
    <w:rsid w:val="00DE70B6"/>
    <w:rsid w:val="00E71725"/>
    <w:rsid w:val="00EB218C"/>
    <w:rsid w:val="00EC0037"/>
    <w:rsid w:val="00F038B2"/>
    <w:rsid w:val="00F3518D"/>
    <w:rsid w:val="00F51C64"/>
    <w:rsid w:val="00F5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46503"/>
  <w14:defaultImageDpi w14:val="300"/>
  <w15:docId w15:val="{C1A10F35-BA46-429B-901E-270EC0E2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BC2"/>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CA4"/>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81CA4"/>
    <w:rPr>
      <w:color w:val="0000FF" w:themeColor="hyperlink"/>
      <w:u w:val="single"/>
    </w:rPr>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character" w:styleId="PageNumber">
    <w:name w:val="page number"/>
    <w:basedOn w:val="DefaultParagraphFont"/>
    <w:uiPriority w:val="99"/>
    <w:semiHidden/>
    <w:unhideWhenUsed/>
    <w:rsid w:val="00B82773"/>
  </w:style>
  <w:style w:type="paragraph" w:styleId="ListParagraph">
    <w:name w:val="List Paragraph"/>
    <w:basedOn w:val="Normal"/>
    <w:uiPriority w:val="34"/>
    <w:qFormat/>
    <w:rsid w:val="004D7340"/>
    <w:pPr>
      <w:ind w:left="720"/>
      <w:contextualSpacing/>
    </w:pPr>
  </w:style>
  <w:style w:type="table" w:styleId="TableGrid">
    <w:name w:val="Table Grid"/>
    <w:basedOn w:val="TableNormal"/>
    <w:uiPriority w:val="59"/>
    <w:rsid w:val="009A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518D"/>
    <w:rPr>
      <w:color w:val="800080" w:themeColor="followedHyperlink"/>
      <w:u w:val="single"/>
    </w:rPr>
  </w:style>
  <w:style w:type="character" w:customStyle="1" w:styleId="Heading1Char">
    <w:name w:val="Heading 1 Char"/>
    <w:basedOn w:val="DefaultParagraphFont"/>
    <w:link w:val="Heading1"/>
    <w:uiPriority w:val="9"/>
    <w:rsid w:val="006D4BC2"/>
    <w:rPr>
      <w:rFonts w:ascii="Calibri" w:eastAsia="Calibri" w:hAnsi="Calibri" w:cs="Calibri"/>
      <w:color w:val="2E75B5"/>
      <w:sz w:val="32"/>
      <w:szCs w:val="32"/>
    </w:rPr>
  </w:style>
  <w:style w:type="character" w:customStyle="1" w:styleId="UnresolvedMention1">
    <w:name w:val="Unresolved Mention1"/>
    <w:basedOn w:val="DefaultParagraphFont"/>
    <w:uiPriority w:val="99"/>
    <w:semiHidden/>
    <w:unhideWhenUsed/>
    <w:rsid w:val="006D4BC2"/>
    <w:rPr>
      <w:color w:val="605E5C"/>
      <w:shd w:val="clear" w:color="auto" w:fill="E1DFDD"/>
    </w:rPr>
  </w:style>
  <w:style w:type="table" w:customStyle="1" w:styleId="TableGrid1">
    <w:name w:val="Table Grid1"/>
    <w:basedOn w:val="TableNormal"/>
    <w:next w:val="TableGrid"/>
    <w:uiPriority w:val="59"/>
    <w:rsid w:val="0073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9DF"/>
  </w:style>
  <w:style w:type="character" w:styleId="UnresolvedMention">
    <w:name w:val="Unresolved Mention"/>
    <w:basedOn w:val="DefaultParagraphFont"/>
    <w:uiPriority w:val="99"/>
    <w:semiHidden/>
    <w:unhideWhenUsed/>
    <w:rsid w:val="0075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824">
      <w:bodyDiv w:val="1"/>
      <w:marLeft w:val="0"/>
      <w:marRight w:val="0"/>
      <w:marTop w:val="0"/>
      <w:marBottom w:val="0"/>
      <w:divBdr>
        <w:top w:val="none" w:sz="0" w:space="0" w:color="auto"/>
        <w:left w:val="none" w:sz="0" w:space="0" w:color="auto"/>
        <w:bottom w:val="none" w:sz="0" w:space="0" w:color="auto"/>
        <w:right w:val="none" w:sz="0" w:space="0" w:color="auto"/>
      </w:divBdr>
    </w:div>
    <w:div w:id="947546018">
      <w:bodyDiv w:val="1"/>
      <w:marLeft w:val="0"/>
      <w:marRight w:val="0"/>
      <w:marTop w:val="0"/>
      <w:marBottom w:val="0"/>
      <w:divBdr>
        <w:top w:val="none" w:sz="0" w:space="0" w:color="auto"/>
        <w:left w:val="none" w:sz="0" w:space="0" w:color="auto"/>
        <w:bottom w:val="none" w:sz="0" w:space="0" w:color="auto"/>
        <w:right w:val="none" w:sz="0" w:space="0" w:color="auto"/>
      </w:divBdr>
    </w:div>
    <w:div w:id="153514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uws/14.pdf" TargetMode="External"/><Relationship Id="rId13" Type="http://schemas.openxmlformats.org/officeDocument/2006/relationships/hyperlink" Target="http://www.nursingworld.org/FunctionalMenuCategories/MediaResources/PressReleases/2011-PR/ANA-NCSBN-Guidelines-Social-Media-Networking-for-Nurses.pdf" TargetMode="External"/><Relationship Id="rId18" Type="http://schemas.openxmlformats.org/officeDocument/2006/relationships/hyperlink" Target="https://www.uwsp.edu/veteran-services/Pages/Call-Up-Guidelines.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uwsp.edu/dos/Pages/Anonymous-Report.aspx" TargetMode="External"/><Relationship Id="rId7" Type="http://schemas.openxmlformats.org/officeDocument/2006/relationships/hyperlink" Target="mailto:elamb@uwsp.edu" TargetMode="External"/><Relationship Id="rId12" Type="http://schemas.openxmlformats.org/officeDocument/2006/relationships/hyperlink" Target="http://www.albion.com/netiquette/corerules.html" TargetMode="External"/><Relationship Id="rId17" Type="http://schemas.openxmlformats.org/officeDocument/2006/relationships/hyperlink" Target="https://www.uwsp.edu/veteran-services/Pages/short-term-leav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wsp.edu/veteran-services/Pages/short-term-leave.aspx" TargetMode="External"/><Relationship Id="rId20" Type="http://schemas.openxmlformats.org/officeDocument/2006/relationships/hyperlink" Target="https://www.uwsp.edu/infotech/Pages/ServiceDesk/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on.com/netiquette/corerul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S@uwsp.edu"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www.hhs.gov/ocr/privacy/hipaa/understanding/summary/index.html" TargetMode="External"/><Relationship Id="rId19" Type="http://schemas.openxmlformats.org/officeDocument/2006/relationships/hyperlink" Target="https://docs.legis.wisconsin.gov/code/admin_code/uws/22" TargetMode="External"/><Relationship Id="rId4" Type="http://schemas.openxmlformats.org/officeDocument/2006/relationships/webSettings" Target="webSettings.xml"/><Relationship Id="rId9" Type="http://schemas.openxmlformats.org/officeDocument/2006/relationships/hyperlink" Target="http://www2.ed.gov/policy/gen/guid/fpco/ferpa/students.html" TargetMode="External"/><Relationship Id="rId14" Type="http://schemas.openxmlformats.org/officeDocument/2006/relationships/hyperlink" Target="https://www.uwsp.edu/regrec/Pages/Attendance-Policy.aspx"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453</Number>
    <Section xmlns="409cf07c-705a-4568-bc2e-e1a7cd36a2d3">1, 2</Section>
    <Calendar_x0020_Year xmlns="409cf07c-705a-4568-bc2e-e1a7cd36a2d3">2023</Calendar_x0020_Year>
    <Course_x0020_Name xmlns="409cf07c-705a-4568-bc2e-e1a7cd36a2d3">Information Management and Health Care Technology</Course_x0020_Name>
    <Instructor xmlns="409cf07c-705a-4568-bc2e-e1a7cd36a2d3">Elizabeth Lamb</Instructor>
    <Pre xmlns="409cf07c-705a-4568-bc2e-e1a7cd36a2d3">70</Pre>
  </documentManagement>
</p:properties>
</file>

<file path=customXml/itemProps1.xml><?xml version="1.0" encoding="utf-8"?>
<ds:datastoreItem xmlns:ds="http://schemas.openxmlformats.org/officeDocument/2006/customXml" ds:itemID="{D9A61ACF-ADF7-429D-9755-D5C3354FC426}"/>
</file>

<file path=customXml/itemProps2.xml><?xml version="1.0" encoding="utf-8"?>
<ds:datastoreItem xmlns:ds="http://schemas.openxmlformats.org/officeDocument/2006/customXml" ds:itemID="{A399D251-CFC6-4E18-9869-D2577B176D1A}"/>
</file>

<file path=customXml/itemProps3.xml><?xml version="1.0" encoding="utf-8"?>
<ds:datastoreItem xmlns:ds="http://schemas.openxmlformats.org/officeDocument/2006/customXml" ds:itemID="{32C596AE-7FF0-4D9B-B6CE-2A5DDB994308}"/>
</file>

<file path=docProps/app.xml><?xml version="1.0" encoding="utf-8"?>
<Properties xmlns="http://schemas.openxmlformats.org/officeDocument/2006/extended-properties" xmlns:vt="http://schemas.openxmlformats.org/officeDocument/2006/docPropsVTypes">
  <Template>Normal</Template>
  <TotalTime>66</TotalTime>
  <Pages>10</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PhD</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Muckian</dc:creator>
  <cp:lastModifiedBy>Lamb, Elizabeth</cp:lastModifiedBy>
  <cp:revision>3</cp:revision>
  <cp:lastPrinted>2021-10-26T16:03:00Z</cp:lastPrinted>
  <dcterms:created xsi:type="dcterms:W3CDTF">2023-08-28T14:10:00Z</dcterms:created>
  <dcterms:modified xsi:type="dcterms:W3CDTF">2023-08-28T20:00:00Z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